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733" w:rsidRPr="006F078F" w:rsidRDefault="00A46C6C" w:rsidP="00395042">
      <w:pPr>
        <w:jc w:val="center"/>
        <w:rPr>
          <w:b/>
          <w:sz w:val="28"/>
          <w:szCs w:val="28"/>
        </w:rPr>
      </w:pPr>
      <w:bookmarkStart w:id="0" w:name="_GoBack"/>
      <w:bookmarkEnd w:id="0"/>
      <w:r>
        <w:rPr>
          <w:b/>
          <w:sz w:val="28"/>
          <w:szCs w:val="28"/>
        </w:rPr>
        <w:t>S</w:t>
      </w:r>
      <w:r w:rsidR="00123326" w:rsidRPr="006F078F">
        <w:rPr>
          <w:b/>
          <w:sz w:val="28"/>
          <w:szCs w:val="28"/>
        </w:rPr>
        <w:t>trategi</w:t>
      </w:r>
      <w:r w:rsidR="007D0E5B" w:rsidRPr="006F078F">
        <w:rPr>
          <w:b/>
          <w:sz w:val="28"/>
          <w:szCs w:val="28"/>
        </w:rPr>
        <w:t>note</w:t>
      </w:r>
      <w:r w:rsidR="00DE06A4" w:rsidRPr="006F078F">
        <w:rPr>
          <w:b/>
          <w:sz w:val="28"/>
          <w:szCs w:val="28"/>
        </w:rPr>
        <w:t xml:space="preserve"> </w:t>
      </w:r>
      <w:r w:rsidR="004F4E78">
        <w:rPr>
          <w:b/>
          <w:sz w:val="28"/>
          <w:szCs w:val="28"/>
        </w:rPr>
        <w:t>for</w:t>
      </w:r>
    </w:p>
    <w:p w:rsidR="00CB3733" w:rsidRPr="006F078F" w:rsidRDefault="00DE06A4" w:rsidP="00395042">
      <w:pPr>
        <w:jc w:val="center"/>
        <w:rPr>
          <w:b/>
          <w:sz w:val="28"/>
          <w:szCs w:val="28"/>
        </w:rPr>
      </w:pPr>
      <w:r w:rsidRPr="006F078F">
        <w:rPr>
          <w:b/>
          <w:sz w:val="28"/>
          <w:szCs w:val="28"/>
        </w:rPr>
        <w:t xml:space="preserve"> </w:t>
      </w:r>
      <w:r w:rsidR="006952E5" w:rsidRPr="006F078F">
        <w:rPr>
          <w:b/>
          <w:sz w:val="28"/>
          <w:szCs w:val="28"/>
        </w:rPr>
        <w:t xml:space="preserve">dansk </w:t>
      </w:r>
      <w:r w:rsidRPr="006F078F">
        <w:rPr>
          <w:b/>
          <w:sz w:val="28"/>
          <w:szCs w:val="28"/>
        </w:rPr>
        <w:t xml:space="preserve">bistand til </w:t>
      </w:r>
      <w:r w:rsidR="00EE77D7" w:rsidRPr="006F078F">
        <w:rPr>
          <w:b/>
          <w:sz w:val="28"/>
          <w:szCs w:val="28"/>
        </w:rPr>
        <w:t xml:space="preserve">tidlig </w:t>
      </w:r>
      <w:r w:rsidRPr="006F078F">
        <w:rPr>
          <w:b/>
          <w:sz w:val="28"/>
          <w:szCs w:val="28"/>
        </w:rPr>
        <w:t>g</w:t>
      </w:r>
      <w:r w:rsidR="00123326" w:rsidRPr="006F078F">
        <w:rPr>
          <w:b/>
          <w:sz w:val="28"/>
          <w:szCs w:val="28"/>
        </w:rPr>
        <w:t xml:space="preserve">enopbygning i </w:t>
      </w:r>
      <w:r w:rsidRPr="006F078F">
        <w:rPr>
          <w:b/>
          <w:sz w:val="28"/>
          <w:szCs w:val="28"/>
        </w:rPr>
        <w:t>Mykolaiv/</w:t>
      </w:r>
      <w:r w:rsidR="00123326" w:rsidRPr="006F078F">
        <w:rPr>
          <w:b/>
          <w:sz w:val="28"/>
          <w:szCs w:val="28"/>
        </w:rPr>
        <w:t>Ukraine</w:t>
      </w:r>
      <w:r w:rsidR="00093160" w:rsidRPr="006F078F">
        <w:rPr>
          <w:b/>
          <w:sz w:val="28"/>
          <w:szCs w:val="28"/>
        </w:rPr>
        <w:t xml:space="preserve"> </w:t>
      </w:r>
      <w:r w:rsidR="00581A74" w:rsidRPr="006F078F">
        <w:rPr>
          <w:b/>
          <w:sz w:val="28"/>
          <w:szCs w:val="28"/>
        </w:rPr>
        <w:t>2023-24</w:t>
      </w:r>
    </w:p>
    <w:p w:rsidR="009723A1" w:rsidRPr="009723A1" w:rsidRDefault="009723A1" w:rsidP="00395042">
      <w:pPr>
        <w:jc w:val="center"/>
        <w:rPr>
          <w:b/>
        </w:rPr>
      </w:pPr>
      <w:r w:rsidRPr="003C1402">
        <w:t>Maj 2023</w:t>
      </w:r>
    </w:p>
    <w:sdt>
      <w:sdtPr>
        <w:rPr>
          <w:rFonts w:ascii="Verdana" w:eastAsiaTheme="minorHAnsi" w:hAnsi="Verdana" w:cstheme="minorBidi"/>
          <w:color w:val="auto"/>
          <w:sz w:val="20"/>
          <w:szCs w:val="20"/>
          <w:lang w:eastAsia="en-US"/>
        </w:rPr>
        <w:id w:val="762118323"/>
        <w:docPartObj>
          <w:docPartGallery w:val="Table of Contents"/>
          <w:docPartUnique/>
        </w:docPartObj>
      </w:sdtPr>
      <w:sdtEndPr>
        <w:rPr>
          <w:b/>
          <w:bCs/>
        </w:rPr>
      </w:sdtEndPr>
      <w:sdtContent>
        <w:p w:rsidR="0071451B" w:rsidRDefault="0071451B" w:rsidP="00395042">
          <w:pPr>
            <w:pStyle w:val="Overskrift"/>
            <w:spacing w:line="276" w:lineRule="auto"/>
          </w:pPr>
          <w:r>
            <w:t>Indhold</w:t>
          </w:r>
        </w:p>
        <w:p w:rsidR="005921DB" w:rsidRDefault="0071451B">
          <w:pPr>
            <w:pStyle w:val="Indholdsfortegnelse1"/>
            <w:tabs>
              <w:tab w:val="left" w:pos="440"/>
              <w:tab w:val="right" w:leader="dot" w:pos="9628"/>
            </w:tabs>
            <w:rPr>
              <w:rFonts w:asciiTheme="minorHAnsi" w:eastAsiaTheme="minorEastAsia" w:hAnsiTheme="minorHAnsi"/>
              <w:noProof/>
              <w:sz w:val="22"/>
              <w:szCs w:val="22"/>
              <w:lang w:eastAsia="da-DK"/>
            </w:rPr>
          </w:pPr>
          <w:r>
            <w:fldChar w:fldCharType="begin"/>
          </w:r>
          <w:r>
            <w:instrText xml:space="preserve"> TOC \o "1-3" \h \z \u </w:instrText>
          </w:r>
          <w:r>
            <w:fldChar w:fldCharType="separate"/>
          </w:r>
          <w:hyperlink w:anchor="_Toc133169458" w:history="1">
            <w:r w:rsidR="005921DB" w:rsidRPr="00261CA4">
              <w:rPr>
                <w:rStyle w:val="Hyperlink"/>
                <w:noProof/>
              </w:rPr>
              <w:t>1.</w:t>
            </w:r>
            <w:r w:rsidR="005921DB">
              <w:rPr>
                <w:rFonts w:asciiTheme="minorHAnsi" w:eastAsiaTheme="minorEastAsia" w:hAnsiTheme="minorHAnsi"/>
                <w:noProof/>
                <w:sz w:val="22"/>
                <w:szCs w:val="22"/>
                <w:lang w:eastAsia="da-DK"/>
              </w:rPr>
              <w:tab/>
            </w:r>
            <w:r w:rsidR="005921DB" w:rsidRPr="00261CA4">
              <w:rPr>
                <w:rStyle w:val="Hyperlink"/>
                <w:noProof/>
              </w:rPr>
              <w:t>Introduktion</w:t>
            </w:r>
            <w:r w:rsidR="005921DB">
              <w:rPr>
                <w:noProof/>
                <w:webHidden/>
              </w:rPr>
              <w:tab/>
            </w:r>
            <w:r w:rsidR="005921DB">
              <w:rPr>
                <w:noProof/>
                <w:webHidden/>
              </w:rPr>
              <w:fldChar w:fldCharType="begin"/>
            </w:r>
            <w:r w:rsidR="005921DB">
              <w:rPr>
                <w:noProof/>
                <w:webHidden/>
              </w:rPr>
              <w:instrText xml:space="preserve"> PAGEREF _Toc133169458 \h </w:instrText>
            </w:r>
            <w:r w:rsidR="005921DB">
              <w:rPr>
                <w:noProof/>
                <w:webHidden/>
              </w:rPr>
            </w:r>
            <w:r w:rsidR="005921DB">
              <w:rPr>
                <w:noProof/>
                <w:webHidden/>
              </w:rPr>
              <w:fldChar w:fldCharType="separate"/>
            </w:r>
            <w:r w:rsidR="00AF7C56">
              <w:rPr>
                <w:noProof/>
                <w:webHidden/>
              </w:rPr>
              <w:t>2</w:t>
            </w:r>
            <w:r w:rsidR="005921DB">
              <w:rPr>
                <w:noProof/>
                <w:webHidden/>
              </w:rPr>
              <w:fldChar w:fldCharType="end"/>
            </w:r>
          </w:hyperlink>
        </w:p>
        <w:p w:rsidR="005921DB" w:rsidRDefault="003C1402">
          <w:pPr>
            <w:pStyle w:val="Indholdsfortegnelse2"/>
            <w:tabs>
              <w:tab w:val="right" w:leader="dot" w:pos="9628"/>
            </w:tabs>
            <w:rPr>
              <w:rFonts w:asciiTheme="minorHAnsi" w:eastAsiaTheme="minorEastAsia" w:hAnsiTheme="minorHAnsi"/>
              <w:noProof/>
              <w:sz w:val="22"/>
              <w:szCs w:val="22"/>
              <w:lang w:eastAsia="da-DK"/>
            </w:rPr>
          </w:pPr>
          <w:hyperlink w:anchor="_Toc133169459" w:history="1">
            <w:r w:rsidR="005921DB" w:rsidRPr="00261CA4">
              <w:rPr>
                <w:rStyle w:val="Hyperlink"/>
                <w:noProof/>
              </w:rPr>
              <w:t>1.1 Baggrund</w:t>
            </w:r>
            <w:r w:rsidR="005921DB">
              <w:rPr>
                <w:noProof/>
                <w:webHidden/>
              </w:rPr>
              <w:tab/>
            </w:r>
            <w:r w:rsidR="005921DB">
              <w:rPr>
                <w:noProof/>
                <w:webHidden/>
              </w:rPr>
              <w:fldChar w:fldCharType="begin"/>
            </w:r>
            <w:r w:rsidR="005921DB">
              <w:rPr>
                <w:noProof/>
                <w:webHidden/>
              </w:rPr>
              <w:instrText xml:space="preserve"> PAGEREF _Toc133169459 \h </w:instrText>
            </w:r>
            <w:r w:rsidR="005921DB">
              <w:rPr>
                <w:noProof/>
                <w:webHidden/>
              </w:rPr>
            </w:r>
            <w:r w:rsidR="005921DB">
              <w:rPr>
                <w:noProof/>
                <w:webHidden/>
              </w:rPr>
              <w:fldChar w:fldCharType="separate"/>
            </w:r>
            <w:r w:rsidR="00AF7C56">
              <w:rPr>
                <w:noProof/>
                <w:webHidden/>
              </w:rPr>
              <w:t>2</w:t>
            </w:r>
            <w:r w:rsidR="005921DB">
              <w:rPr>
                <w:noProof/>
                <w:webHidden/>
              </w:rPr>
              <w:fldChar w:fldCharType="end"/>
            </w:r>
          </w:hyperlink>
        </w:p>
        <w:p w:rsidR="005921DB" w:rsidRDefault="003C1402">
          <w:pPr>
            <w:pStyle w:val="Indholdsfortegnelse2"/>
            <w:tabs>
              <w:tab w:val="right" w:leader="dot" w:pos="9628"/>
            </w:tabs>
            <w:rPr>
              <w:rFonts w:asciiTheme="minorHAnsi" w:eastAsiaTheme="minorEastAsia" w:hAnsiTheme="minorHAnsi"/>
              <w:noProof/>
              <w:sz w:val="22"/>
              <w:szCs w:val="22"/>
              <w:lang w:eastAsia="da-DK"/>
            </w:rPr>
          </w:pPr>
          <w:hyperlink w:anchor="_Toc133169460" w:history="1">
            <w:r w:rsidR="005921DB" w:rsidRPr="00261CA4">
              <w:rPr>
                <w:rStyle w:val="Hyperlink"/>
                <w:noProof/>
              </w:rPr>
              <w:t>1.2 Mykolaiv – Danmark Partnerskab</w:t>
            </w:r>
            <w:r w:rsidR="005921DB">
              <w:rPr>
                <w:noProof/>
                <w:webHidden/>
              </w:rPr>
              <w:tab/>
            </w:r>
            <w:r w:rsidR="005921DB">
              <w:rPr>
                <w:noProof/>
                <w:webHidden/>
              </w:rPr>
              <w:fldChar w:fldCharType="begin"/>
            </w:r>
            <w:r w:rsidR="005921DB">
              <w:rPr>
                <w:noProof/>
                <w:webHidden/>
              </w:rPr>
              <w:instrText xml:space="preserve"> PAGEREF _Toc133169460 \h </w:instrText>
            </w:r>
            <w:r w:rsidR="005921DB">
              <w:rPr>
                <w:noProof/>
                <w:webHidden/>
              </w:rPr>
            </w:r>
            <w:r w:rsidR="005921DB">
              <w:rPr>
                <w:noProof/>
                <w:webHidden/>
              </w:rPr>
              <w:fldChar w:fldCharType="separate"/>
            </w:r>
            <w:r w:rsidR="00AF7C56">
              <w:rPr>
                <w:noProof/>
                <w:webHidden/>
              </w:rPr>
              <w:t>2</w:t>
            </w:r>
            <w:r w:rsidR="005921DB">
              <w:rPr>
                <w:noProof/>
                <w:webHidden/>
              </w:rPr>
              <w:fldChar w:fldCharType="end"/>
            </w:r>
          </w:hyperlink>
        </w:p>
        <w:p w:rsidR="005921DB" w:rsidRDefault="003C1402">
          <w:pPr>
            <w:pStyle w:val="Indholdsfortegnelse2"/>
            <w:tabs>
              <w:tab w:val="right" w:leader="dot" w:pos="9628"/>
            </w:tabs>
            <w:rPr>
              <w:rFonts w:asciiTheme="minorHAnsi" w:eastAsiaTheme="minorEastAsia" w:hAnsiTheme="minorHAnsi"/>
              <w:noProof/>
              <w:sz w:val="22"/>
              <w:szCs w:val="22"/>
              <w:lang w:eastAsia="da-DK"/>
            </w:rPr>
          </w:pPr>
          <w:hyperlink w:anchor="_Toc133169461" w:history="1">
            <w:r w:rsidR="005921DB" w:rsidRPr="00261CA4">
              <w:rPr>
                <w:rStyle w:val="Hyperlink"/>
                <w:noProof/>
              </w:rPr>
              <w:t>1.3 Danske aktører</w:t>
            </w:r>
            <w:r w:rsidR="005921DB">
              <w:rPr>
                <w:noProof/>
                <w:webHidden/>
              </w:rPr>
              <w:tab/>
            </w:r>
            <w:r w:rsidR="005921DB">
              <w:rPr>
                <w:noProof/>
                <w:webHidden/>
              </w:rPr>
              <w:fldChar w:fldCharType="begin"/>
            </w:r>
            <w:r w:rsidR="005921DB">
              <w:rPr>
                <w:noProof/>
                <w:webHidden/>
              </w:rPr>
              <w:instrText xml:space="preserve"> PAGEREF _Toc133169461 \h </w:instrText>
            </w:r>
            <w:r w:rsidR="005921DB">
              <w:rPr>
                <w:noProof/>
                <w:webHidden/>
              </w:rPr>
            </w:r>
            <w:r w:rsidR="005921DB">
              <w:rPr>
                <w:noProof/>
                <w:webHidden/>
              </w:rPr>
              <w:fldChar w:fldCharType="separate"/>
            </w:r>
            <w:r w:rsidR="00AF7C56">
              <w:rPr>
                <w:noProof/>
                <w:webHidden/>
              </w:rPr>
              <w:t>2</w:t>
            </w:r>
            <w:r w:rsidR="005921DB">
              <w:rPr>
                <w:noProof/>
                <w:webHidden/>
              </w:rPr>
              <w:fldChar w:fldCharType="end"/>
            </w:r>
          </w:hyperlink>
        </w:p>
        <w:p w:rsidR="005921DB" w:rsidRDefault="003C1402">
          <w:pPr>
            <w:pStyle w:val="Indholdsfortegnelse2"/>
            <w:tabs>
              <w:tab w:val="right" w:leader="dot" w:pos="9628"/>
            </w:tabs>
            <w:rPr>
              <w:rFonts w:asciiTheme="minorHAnsi" w:eastAsiaTheme="minorEastAsia" w:hAnsiTheme="minorHAnsi"/>
              <w:noProof/>
              <w:sz w:val="22"/>
              <w:szCs w:val="22"/>
              <w:lang w:eastAsia="da-DK"/>
            </w:rPr>
          </w:pPr>
          <w:hyperlink w:anchor="_Toc133169462" w:history="1">
            <w:r w:rsidR="005921DB" w:rsidRPr="00261CA4">
              <w:rPr>
                <w:rStyle w:val="Hyperlink"/>
                <w:noProof/>
              </w:rPr>
              <w:t>1.4 Strateginote – en bred overlægger for den danske genopbygningsindsats</w:t>
            </w:r>
            <w:r w:rsidR="005921DB">
              <w:rPr>
                <w:noProof/>
                <w:webHidden/>
              </w:rPr>
              <w:tab/>
            </w:r>
            <w:r w:rsidR="005921DB">
              <w:rPr>
                <w:noProof/>
                <w:webHidden/>
              </w:rPr>
              <w:fldChar w:fldCharType="begin"/>
            </w:r>
            <w:r w:rsidR="005921DB">
              <w:rPr>
                <w:noProof/>
                <w:webHidden/>
              </w:rPr>
              <w:instrText xml:space="preserve"> PAGEREF _Toc133169462 \h </w:instrText>
            </w:r>
            <w:r w:rsidR="005921DB">
              <w:rPr>
                <w:noProof/>
                <w:webHidden/>
              </w:rPr>
            </w:r>
            <w:r w:rsidR="005921DB">
              <w:rPr>
                <w:noProof/>
                <w:webHidden/>
              </w:rPr>
              <w:fldChar w:fldCharType="separate"/>
            </w:r>
            <w:r w:rsidR="00AF7C56">
              <w:rPr>
                <w:noProof/>
                <w:webHidden/>
              </w:rPr>
              <w:t>3</w:t>
            </w:r>
            <w:r w:rsidR="005921DB">
              <w:rPr>
                <w:noProof/>
                <w:webHidden/>
              </w:rPr>
              <w:fldChar w:fldCharType="end"/>
            </w:r>
          </w:hyperlink>
        </w:p>
        <w:p w:rsidR="005921DB" w:rsidRDefault="003C1402">
          <w:pPr>
            <w:pStyle w:val="Indholdsfortegnelse1"/>
            <w:tabs>
              <w:tab w:val="left" w:pos="440"/>
              <w:tab w:val="right" w:leader="dot" w:pos="9628"/>
            </w:tabs>
            <w:rPr>
              <w:rFonts w:asciiTheme="minorHAnsi" w:eastAsiaTheme="minorEastAsia" w:hAnsiTheme="minorHAnsi"/>
              <w:noProof/>
              <w:sz w:val="22"/>
              <w:szCs w:val="22"/>
              <w:lang w:eastAsia="da-DK"/>
            </w:rPr>
          </w:pPr>
          <w:hyperlink w:anchor="_Toc133169463" w:history="1">
            <w:r w:rsidR="005921DB" w:rsidRPr="00261CA4">
              <w:rPr>
                <w:rStyle w:val="Hyperlink"/>
                <w:noProof/>
              </w:rPr>
              <w:t>2.</w:t>
            </w:r>
            <w:r w:rsidR="005921DB">
              <w:rPr>
                <w:rFonts w:asciiTheme="minorHAnsi" w:eastAsiaTheme="minorEastAsia" w:hAnsiTheme="minorHAnsi"/>
                <w:noProof/>
                <w:sz w:val="22"/>
                <w:szCs w:val="22"/>
                <w:lang w:eastAsia="da-DK"/>
              </w:rPr>
              <w:tab/>
            </w:r>
            <w:r w:rsidR="005921DB" w:rsidRPr="00261CA4">
              <w:rPr>
                <w:rStyle w:val="Hyperlink"/>
                <w:noProof/>
              </w:rPr>
              <w:t>Situationen i Ukraine – behov for tidlig genopbygning</w:t>
            </w:r>
            <w:r w:rsidR="005921DB">
              <w:rPr>
                <w:noProof/>
                <w:webHidden/>
              </w:rPr>
              <w:tab/>
            </w:r>
            <w:r w:rsidR="005921DB">
              <w:rPr>
                <w:noProof/>
                <w:webHidden/>
              </w:rPr>
              <w:fldChar w:fldCharType="begin"/>
            </w:r>
            <w:r w:rsidR="005921DB">
              <w:rPr>
                <w:noProof/>
                <w:webHidden/>
              </w:rPr>
              <w:instrText xml:space="preserve"> PAGEREF _Toc133169463 \h </w:instrText>
            </w:r>
            <w:r w:rsidR="005921DB">
              <w:rPr>
                <w:noProof/>
                <w:webHidden/>
              </w:rPr>
            </w:r>
            <w:r w:rsidR="005921DB">
              <w:rPr>
                <w:noProof/>
                <w:webHidden/>
              </w:rPr>
              <w:fldChar w:fldCharType="separate"/>
            </w:r>
            <w:r w:rsidR="00AF7C56">
              <w:rPr>
                <w:noProof/>
                <w:webHidden/>
              </w:rPr>
              <w:t>3</w:t>
            </w:r>
            <w:r w:rsidR="005921DB">
              <w:rPr>
                <w:noProof/>
                <w:webHidden/>
              </w:rPr>
              <w:fldChar w:fldCharType="end"/>
            </w:r>
          </w:hyperlink>
        </w:p>
        <w:p w:rsidR="005921DB" w:rsidRDefault="003C1402">
          <w:pPr>
            <w:pStyle w:val="Indholdsfortegnelse2"/>
            <w:tabs>
              <w:tab w:val="right" w:leader="dot" w:pos="9628"/>
            </w:tabs>
            <w:rPr>
              <w:rFonts w:asciiTheme="minorHAnsi" w:eastAsiaTheme="minorEastAsia" w:hAnsiTheme="minorHAnsi"/>
              <w:noProof/>
              <w:sz w:val="22"/>
              <w:szCs w:val="22"/>
              <w:lang w:eastAsia="da-DK"/>
            </w:rPr>
          </w:pPr>
          <w:hyperlink w:anchor="_Toc133169464" w:history="1">
            <w:r w:rsidR="005921DB" w:rsidRPr="00261CA4">
              <w:rPr>
                <w:rStyle w:val="Hyperlink"/>
                <w:noProof/>
              </w:rPr>
              <w:t>2.1 Nationale prioriteter</w:t>
            </w:r>
            <w:r w:rsidR="005921DB">
              <w:rPr>
                <w:noProof/>
                <w:webHidden/>
              </w:rPr>
              <w:tab/>
            </w:r>
            <w:r w:rsidR="005921DB">
              <w:rPr>
                <w:noProof/>
                <w:webHidden/>
              </w:rPr>
              <w:fldChar w:fldCharType="begin"/>
            </w:r>
            <w:r w:rsidR="005921DB">
              <w:rPr>
                <w:noProof/>
                <w:webHidden/>
              </w:rPr>
              <w:instrText xml:space="preserve"> PAGEREF _Toc133169464 \h </w:instrText>
            </w:r>
            <w:r w:rsidR="005921DB">
              <w:rPr>
                <w:noProof/>
                <w:webHidden/>
              </w:rPr>
            </w:r>
            <w:r w:rsidR="005921DB">
              <w:rPr>
                <w:noProof/>
                <w:webHidden/>
              </w:rPr>
              <w:fldChar w:fldCharType="separate"/>
            </w:r>
            <w:r w:rsidR="00AF7C56">
              <w:rPr>
                <w:noProof/>
                <w:webHidden/>
              </w:rPr>
              <w:t>3</w:t>
            </w:r>
            <w:r w:rsidR="005921DB">
              <w:rPr>
                <w:noProof/>
                <w:webHidden/>
              </w:rPr>
              <w:fldChar w:fldCharType="end"/>
            </w:r>
          </w:hyperlink>
        </w:p>
        <w:p w:rsidR="005921DB" w:rsidRDefault="003C1402">
          <w:pPr>
            <w:pStyle w:val="Indholdsfortegnelse2"/>
            <w:tabs>
              <w:tab w:val="right" w:leader="dot" w:pos="9628"/>
            </w:tabs>
            <w:rPr>
              <w:rFonts w:asciiTheme="minorHAnsi" w:eastAsiaTheme="minorEastAsia" w:hAnsiTheme="minorHAnsi"/>
              <w:noProof/>
              <w:sz w:val="22"/>
              <w:szCs w:val="22"/>
              <w:lang w:eastAsia="da-DK"/>
            </w:rPr>
          </w:pPr>
          <w:hyperlink w:anchor="_Toc133169465" w:history="1">
            <w:r w:rsidR="005921DB" w:rsidRPr="00261CA4">
              <w:rPr>
                <w:rStyle w:val="Hyperlink"/>
                <w:noProof/>
              </w:rPr>
              <w:t>2.2 Mykolaiv – ødelæggelser og behov</w:t>
            </w:r>
            <w:r w:rsidR="005921DB">
              <w:rPr>
                <w:noProof/>
                <w:webHidden/>
              </w:rPr>
              <w:tab/>
            </w:r>
            <w:r w:rsidR="005921DB">
              <w:rPr>
                <w:noProof/>
                <w:webHidden/>
              </w:rPr>
              <w:fldChar w:fldCharType="begin"/>
            </w:r>
            <w:r w:rsidR="005921DB">
              <w:rPr>
                <w:noProof/>
                <w:webHidden/>
              </w:rPr>
              <w:instrText xml:space="preserve"> PAGEREF _Toc133169465 \h </w:instrText>
            </w:r>
            <w:r w:rsidR="005921DB">
              <w:rPr>
                <w:noProof/>
                <w:webHidden/>
              </w:rPr>
            </w:r>
            <w:r w:rsidR="005921DB">
              <w:rPr>
                <w:noProof/>
                <w:webHidden/>
              </w:rPr>
              <w:fldChar w:fldCharType="separate"/>
            </w:r>
            <w:r w:rsidR="00AF7C56">
              <w:rPr>
                <w:noProof/>
                <w:webHidden/>
              </w:rPr>
              <w:t>4</w:t>
            </w:r>
            <w:r w:rsidR="005921DB">
              <w:rPr>
                <w:noProof/>
                <w:webHidden/>
              </w:rPr>
              <w:fldChar w:fldCharType="end"/>
            </w:r>
          </w:hyperlink>
        </w:p>
        <w:p w:rsidR="005921DB" w:rsidRDefault="003C1402">
          <w:pPr>
            <w:pStyle w:val="Indholdsfortegnelse2"/>
            <w:tabs>
              <w:tab w:val="right" w:leader="dot" w:pos="9628"/>
            </w:tabs>
            <w:rPr>
              <w:rFonts w:asciiTheme="minorHAnsi" w:eastAsiaTheme="minorEastAsia" w:hAnsiTheme="minorHAnsi"/>
              <w:noProof/>
              <w:sz w:val="22"/>
              <w:szCs w:val="22"/>
              <w:lang w:eastAsia="da-DK"/>
            </w:rPr>
          </w:pPr>
          <w:hyperlink w:anchor="_Toc133169466" w:history="1">
            <w:r w:rsidR="005921DB" w:rsidRPr="00261CA4">
              <w:rPr>
                <w:rStyle w:val="Hyperlink"/>
                <w:noProof/>
              </w:rPr>
              <w:t>2.3 Ukrainsk anmodning om dansk støtte på energiområdet</w:t>
            </w:r>
            <w:r w:rsidR="005921DB">
              <w:rPr>
                <w:noProof/>
                <w:webHidden/>
              </w:rPr>
              <w:tab/>
            </w:r>
            <w:r w:rsidR="005921DB">
              <w:rPr>
                <w:noProof/>
                <w:webHidden/>
              </w:rPr>
              <w:fldChar w:fldCharType="begin"/>
            </w:r>
            <w:r w:rsidR="005921DB">
              <w:rPr>
                <w:noProof/>
                <w:webHidden/>
              </w:rPr>
              <w:instrText xml:space="preserve"> PAGEREF _Toc133169466 \h </w:instrText>
            </w:r>
            <w:r w:rsidR="005921DB">
              <w:rPr>
                <w:noProof/>
                <w:webHidden/>
              </w:rPr>
            </w:r>
            <w:r w:rsidR="005921DB">
              <w:rPr>
                <w:noProof/>
                <w:webHidden/>
              </w:rPr>
              <w:fldChar w:fldCharType="separate"/>
            </w:r>
            <w:r w:rsidR="00AF7C56">
              <w:rPr>
                <w:noProof/>
                <w:webHidden/>
              </w:rPr>
              <w:t>5</w:t>
            </w:r>
            <w:r w:rsidR="005921DB">
              <w:rPr>
                <w:noProof/>
                <w:webHidden/>
              </w:rPr>
              <w:fldChar w:fldCharType="end"/>
            </w:r>
          </w:hyperlink>
        </w:p>
        <w:p w:rsidR="005921DB" w:rsidRDefault="003C1402">
          <w:pPr>
            <w:pStyle w:val="Indholdsfortegnelse2"/>
            <w:tabs>
              <w:tab w:val="right" w:leader="dot" w:pos="9628"/>
            </w:tabs>
            <w:rPr>
              <w:rFonts w:asciiTheme="minorHAnsi" w:eastAsiaTheme="minorEastAsia" w:hAnsiTheme="minorHAnsi"/>
              <w:noProof/>
              <w:sz w:val="22"/>
              <w:szCs w:val="22"/>
              <w:lang w:eastAsia="da-DK"/>
            </w:rPr>
          </w:pPr>
          <w:hyperlink w:anchor="_Toc133169467" w:history="1">
            <w:r w:rsidR="005921DB" w:rsidRPr="00261CA4">
              <w:rPr>
                <w:rStyle w:val="Hyperlink"/>
                <w:noProof/>
              </w:rPr>
              <w:t>2.4 Andre prioriteter/anmodninger</w:t>
            </w:r>
            <w:r w:rsidR="005921DB">
              <w:rPr>
                <w:noProof/>
                <w:webHidden/>
              </w:rPr>
              <w:tab/>
            </w:r>
            <w:r w:rsidR="005921DB">
              <w:rPr>
                <w:noProof/>
                <w:webHidden/>
              </w:rPr>
              <w:fldChar w:fldCharType="begin"/>
            </w:r>
            <w:r w:rsidR="005921DB">
              <w:rPr>
                <w:noProof/>
                <w:webHidden/>
              </w:rPr>
              <w:instrText xml:space="preserve"> PAGEREF _Toc133169467 \h </w:instrText>
            </w:r>
            <w:r w:rsidR="005921DB">
              <w:rPr>
                <w:noProof/>
                <w:webHidden/>
              </w:rPr>
            </w:r>
            <w:r w:rsidR="005921DB">
              <w:rPr>
                <w:noProof/>
                <w:webHidden/>
              </w:rPr>
              <w:fldChar w:fldCharType="separate"/>
            </w:r>
            <w:r w:rsidR="00AF7C56">
              <w:rPr>
                <w:noProof/>
                <w:webHidden/>
              </w:rPr>
              <w:t>5</w:t>
            </w:r>
            <w:r w:rsidR="005921DB">
              <w:rPr>
                <w:noProof/>
                <w:webHidden/>
              </w:rPr>
              <w:fldChar w:fldCharType="end"/>
            </w:r>
          </w:hyperlink>
        </w:p>
        <w:p w:rsidR="005921DB" w:rsidRDefault="003C1402">
          <w:pPr>
            <w:pStyle w:val="Indholdsfortegnelse2"/>
            <w:tabs>
              <w:tab w:val="right" w:leader="dot" w:pos="9628"/>
            </w:tabs>
            <w:rPr>
              <w:rFonts w:asciiTheme="minorHAnsi" w:eastAsiaTheme="minorEastAsia" w:hAnsiTheme="minorHAnsi"/>
              <w:noProof/>
              <w:sz w:val="22"/>
              <w:szCs w:val="22"/>
              <w:lang w:eastAsia="da-DK"/>
            </w:rPr>
          </w:pPr>
          <w:hyperlink w:anchor="_Toc133169468" w:history="1">
            <w:r w:rsidR="005921DB" w:rsidRPr="00261CA4">
              <w:rPr>
                <w:rStyle w:val="Hyperlink"/>
                <w:noProof/>
              </w:rPr>
              <w:t>2.5 Ukrainsk plan for faseinddeling af genopbygningen</w:t>
            </w:r>
            <w:r w:rsidR="005921DB">
              <w:rPr>
                <w:noProof/>
                <w:webHidden/>
              </w:rPr>
              <w:tab/>
            </w:r>
            <w:r w:rsidR="005921DB">
              <w:rPr>
                <w:noProof/>
                <w:webHidden/>
              </w:rPr>
              <w:fldChar w:fldCharType="begin"/>
            </w:r>
            <w:r w:rsidR="005921DB">
              <w:rPr>
                <w:noProof/>
                <w:webHidden/>
              </w:rPr>
              <w:instrText xml:space="preserve"> PAGEREF _Toc133169468 \h </w:instrText>
            </w:r>
            <w:r w:rsidR="005921DB">
              <w:rPr>
                <w:noProof/>
                <w:webHidden/>
              </w:rPr>
            </w:r>
            <w:r w:rsidR="005921DB">
              <w:rPr>
                <w:noProof/>
                <w:webHidden/>
              </w:rPr>
              <w:fldChar w:fldCharType="separate"/>
            </w:r>
            <w:r w:rsidR="00AF7C56">
              <w:rPr>
                <w:noProof/>
                <w:webHidden/>
              </w:rPr>
              <w:t>6</w:t>
            </w:r>
            <w:r w:rsidR="005921DB">
              <w:rPr>
                <w:noProof/>
                <w:webHidden/>
              </w:rPr>
              <w:fldChar w:fldCharType="end"/>
            </w:r>
          </w:hyperlink>
        </w:p>
        <w:p w:rsidR="005921DB" w:rsidRDefault="003C1402">
          <w:pPr>
            <w:pStyle w:val="Indholdsfortegnelse2"/>
            <w:tabs>
              <w:tab w:val="right" w:leader="dot" w:pos="9628"/>
            </w:tabs>
            <w:rPr>
              <w:rFonts w:asciiTheme="minorHAnsi" w:eastAsiaTheme="minorEastAsia" w:hAnsiTheme="minorHAnsi"/>
              <w:noProof/>
              <w:sz w:val="22"/>
              <w:szCs w:val="22"/>
              <w:lang w:eastAsia="da-DK"/>
            </w:rPr>
          </w:pPr>
          <w:hyperlink w:anchor="_Toc133169469" w:history="1">
            <w:r w:rsidR="005921DB" w:rsidRPr="00261CA4">
              <w:rPr>
                <w:rStyle w:val="Hyperlink"/>
                <w:noProof/>
              </w:rPr>
              <w:t>2.6 Koordinering af bistanden</w:t>
            </w:r>
            <w:r w:rsidR="005921DB">
              <w:rPr>
                <w:noProof/>
                <w:webHidden/>
              </w:rPr>
              <w:tab/>
            </w:r>
            <w:r w:rsidR="005921DB">
              <w:rPr>
                <w:noProof/>
                <w:webHidden/>
              </w:rPr>
              <w:fldChar w:fldCharType="begin"/>
            </w:r>
            <w:r w:rsidR="005921DB">
              <w:rPr>
                <w:noProof/>
                <w:webHidden/>
              </w:rPr>
              <w:instrText xml:space="preserve"> PAGEREF _Toc133169469 \h </w:instrText>
            </w:r>
            <w:r w:rsidR="005921DB">
              <w:rPr>
                <w:noProof/>
                <w:webHidden/>
              </w:rPr>
            </w:r>
            <w:r w:rsidR="005921DB">
              <w:rPr>
                <w:noProof/>
                <w:webHidden/>
              </w:rPr>
              <w:fldChar w:fldCharType="separate"/>
            </w:r>
            <w:r w:rsidR="00AF7C56">
              <w:rPr>
                <w:noProof/>
                <w:webHidden/>
              </w:rPr>
              <w:t>6</w:t>
            </w:r>
            <w:r w:rsidR="005921DB">
              <w:rPr>
                <w:noProof/>
                <w:webHidden/>
              </w:rPr>
              <w:fldChar w:fldCharType="end"/>
            </w:r>
          </w:hyperlink>
        </w:p>
        <w:p w:rsidR="005921DB" w:rsidRDefault="003C1402">
          <w:pPr>
            <w:pStyle w:val="Indholdsfortegnelse2"/>
            <w:tabs>
              <w:tab w:val="right" w:leader="dot" w:pos="9628"/>
            </w:tabs>
            <w:rPr>
              <w:rFonts w:asciiTheme="minorHAnsi" w:eastAsiaTheme="minorEastAsia" w:hAnsiTheme="minorHAnsi"/>
              <w:noProof/>
              <w:sz w:val="22"/>
              <w:szCs w:val="22"/>
              <w:lang w:eastAsia="da-DK"/>
            </w:rPr>
          </w:pPr>
          <w:hyperlink w:anchor="_Toc133169470" w:history="1">
            <w:r w:rsidR="005921DB" w:rsidRPr="00261CA4">
              <w:rPr>
                <w:rStyle w:val="Hyperlink"/>
                <w:noProof/>
              </w:rPr>
              <w:t>2.7 Scenarier og risici</w:t>
            </w:r>
            <w:r w:rsidR="005921DB">
              <w:rPr>
                <w:noProof/>
                <w:webHidden/>
              </w:rPr>
              <w:tab/>
            </w:r>
            <w:r w:rsidR="005921DB">
              <w:rPr>
                <w:noProof/>
                <w:webHidden/>
              </w:rPr>
              <w:fldChar w:fldCharType="begin"/>
            </w:r>
            <w:r w:rsidR="005921DB">
              <w:rPr>
                <w:noProof/>
                <w:webHidden/>
              </w:rPr>
              <w:instrText xml:space="preserve"> PAGEREF _Toc133169470 \h </w:instrText>
            </w:r>
            <w:r w:rsidR="005921DB">
              <w:rPr>
                <w:noProof/>
                <w:webHidden/>
              </w:rPr>
            </w:r>
            <w:r w:rsidR="005921DB">
              <w:rPr>
                <w:noProof/>
                <w:webHidden/>
              </w:rPr>
              <w:fldChar w:fldCharType="separate"/>
            </w:r>
            <w:r w:rsidR="00AF7C56">
              <w:rPr>
                <w:noProof/>
                <w:webHidden/>
              </w:rPr>
              <w:t>7</w:t>
            </w:r>
            <w:r w:rsidR="005921DB">
              <w:rPr>
                <w:noProof/>
                <w:webHidden/>
              </w:rPr>
              <w:fldChar w:fldCharType="end"/>
            </w:r>
          </w:hyperlink>
        </w:p>
        <w:p w:rsidR="005921DB" w:rsidRDefault="003C1402">
          <w:pPr>
            <w:pStyle w:val="Indholdsfortegnelse1"/>
            <w:tabs>
              <w:tab w:val="left" w:pos="440"/>
              <w:tab w:val="right" w:leader="dot" w:pos="9628"/>
            </w:tabs>
            <w:rPr>
              <w:rFonts w:asciiTheme="minorHAnsi" w:eastAsiaTheme="minorEastAsia" w:hAnsiTheme="minorHAnsi"/>
              <w:noProof/>
              <w:sz w:val="22"/>
              <w:szCs w:val="22"/>
              <w:lang w:eastAsia="da-DK"/>
            </w:rPr>
          </w:pPr>
          <w:hyperlink w:anchor="_Toc133169471" w:history="1">
            <w:r w:rsidR="005921DB" w:rsidRPr="00261CA4">
              <w:rPr>
                <w:rStyle w:val="Hyperlink"/>
                <w:noProof/>
              </w:rPr>
              <w:t>3.</w:t>
            </w:r>
            <w:r w:rsidR="005921DB">
              <w:rPr>
                <w:rFonts w:asciiTheme="minorHAnsi" w:eastAsiaTheme="minorEastAsia" w:hAnsiTheme="minorHAnsi"/>
                <w:noProof/>
                <w:sz w:val="22"/>
                <w:szCs w:val="22"/>
                <w:lang w:eastAsia="da-DK"/>
              </w:rPr>
              <w:tab/>
            </w:r>
            <w:r w:rsidR="005921DB" w:rsidRPr="00261CA4">
              <w:rPr>
                <w:rStyle w:val="Hyperlink"/>
                <w:noProof/>
              </w:rPr>
              <w:t>Dansk målsætning og prioriteter samt hidtidig indsats</w:t>
            </w:r>
            <w:r w:rsidR="005921DB">
              <w:rPr>
                <w:noProof/>
                <w:webHidden/>
              </w:rPr>
              <w:tab/>
            </w:r>
            <w:r w:rsidR="005921DB">
              <w:rPr>
                <w:noProof/>
                <w:webHidden/>
              </w:rPr>
              <w:fldChar w:fldCharType="begin"/>
            </w:r>
            <w:r w:rsidR="005921DB">
              <w:rPr>
                <w:noProof/>
                <w:webHidden/>
              </w:rPr>
              <w:instrText xml:space="preserve"> PAGEREF _Toc133169471 \h </w:instrText>
            </w:r>
            <w:r w:rsidR="005921DB">
              <w:rPr>
                <w:noProof/>
                <w:webHidden/>
              </w:rPr>
            </w:r>
            <w:r w:rsidR="005921DB">
              <w:rPr>
                <w:noProof/>
                <w:webHidden/>
              </w:rPr>
              <w:fldChar w:fldCharType="separate"/>
            </w:r>
            <w:r w:rsidR="00AF7C56">
              <w:rPr>
                <w:noProof/>
                <w:webHidden/>
              </w:rPr>
              <w:t>8</w:t>
            </w:r>
            <w:r w:rsidR="005921DB">
              <w:rPr>
                <w:noProof/>
                <w:webHidden/>
              </w:rPr>
              <w:fldChar w:fldCharType="end"/>
            </w:r>
          </w:hyperlink>
        </w:p>
        <w:p w:rsidR="005921DB" w:rsidRDefault="003C1402">
          <w:pPr>
            <w:pStyle w:val="Indholdsfortegnelse2"/>
            <w:tabs>
              <w:tab w:val="right" w:leader="dot" w:pos="9628"/>
            </w:tabs>
            <w:rPr>
              <w:rFonts w:asciiTheme="minorHAnsi" w:eastAsiaTheme="minorEastAsia" w:hAnsiTheme="minorHAnsi"/>
              <w:noProof/>
              <w:sz w:val="22"/>
              <w:szCs w:val="22"/>
              <w:lang w:eastAsia="da-DK"/>
            </w:rPr>
          </w:pPr>
          <w:hyperlink w:anchor="_Toc133169472" w:history="1">
            <w:r w:rsidR="005921DB" w:rsidRPr="00261CA4">
              <w:rPr>
                <w:rStyle w:val="Hyperlink"/>
                <w:noProof/>
              </w:rPr>
              <w:t>3.1 Overordnet mål og fem delmål</w:t>
            </w:r>
            <w:r w:rsidR="005921DB">
              <w:rPr>
                <w:noProof/>
                <w:webHidden/>
              </w:rPr>
              <w:tab/>
            </w:r>
            <w:r w:rsidR="005921DB">
              <w:rPr>
                <w:noProof/>
                <w:webHidden/>
              </w:rPr>
              <w:fldChar w:fldCharType="begin"/>
            </w:r>
            <w:r w:rsidR="005921DB">
              <w:rPr>
                <w:noProof/>
                <w:webHidden/>
              </w:rPr>
              <w:instrText xml:space="preserve"> PAGEREF _Toc133169472 \h </w:instrText>
            </w:r>
            <w:r w:rsidR="005921DB">
              <w:rPr>
                <w:noProof/>
                <w:webHidden/>
              </w:rPr>
            </w:r>
            <w:r w:rsidR="005921DB">
              <w:rPr>
                <w:noProof/>
                <w:webHidden/>
              </w:rPr>
              <w:fldChar w:fldCharType="separate"/>
            </w:r>
            <w:r w:rsidR="00AF7C56">
              <w:rPr>
                <w:noProof/>
                <w:webHidden/>
              </w:rPr>
              <w:t>8</w:t>
            </w:r>
            <w:r w:rsidR="005921DB">
              <w:rPr>
                <w:noProof/>
                <w:webHidden/>
              </w:rPr>
              <w:fldChar w:fldCharType="end"/>
            </w:r>
          </w:hyperlink>
        </w:p>
        <w:p w:rsidR="005921DB" w:rsidRDefault="003C1402">
          <w:pPr>
            <w:pStyle w:val="Indholdsfortegnelse2"/>
            <w:tabs>
              <w:tab w:val="right" w:leader="dot" w:pos="9628"/>
            </w:tabs>
            <w:rPr>
              <w:rFonts w:asciiTheme="minorHAnsi" w:eastAsiaTheme="minorEastAsia" w:hAnsiTheme="minorHAnsi"/>
              <w:noProof/>
              <w:sz w:val="22"/>
              <w:szCs w:val="22"/>
              <w:lang w:eastAsia="da-DK"/>
            </w:rPr>
          </w:pPr>
          <w:hyperlink w:anchor="_Toc133169473" w:history="1">
            <w:r w:rsidR="005921DB" w:rsidRPr="00261CA4">
              <w:rPr>
                <w:rStyle w:val="Hyperlink"/>
                <w:noProof/>
              </w:rPr>
              <w:t>3.2 Hidtidig indsats</w:t>
            </w:r>
            <w:r w:rsidR="005921DB">
              <w:rPr>
                <w:noProof/>
                <w:webHidden/>
              </w:rPr>
              <w:tab/>
            </w:r>
            <w:r w:rsidR="005921DB">
              <w:rPr>
                <w:noProof/>
                <w:webHidden/>
              </w:rPr>
              <w:fldChar w:fldCharType="begin"/>
            </w:r>
            <w:r w:rsidR="005921DB">
              <w:rPr>
                <w:noProof/>
                <w:webHidden/>
              </w:rPr>
              <w:instrText xml:space="preserve"> PAGEREF _Toc133169473 \h </w:instrText>
            </w:r>
            <w:r w:rsidR="005921DB">
              <w:rPr>
                <w:noProof/>
                <w:webHidden/>
              </w:rPr>
            </w:r>
            <w:r w:rsidR="005921DB">
              <w:rPr>
                <w:noProof/>
                <w:webHidden/>
              </w:rPr>
              <w:fldChar w:fldCharType="separate"/>
            </w:r>
            <w:r w:rsidR="00AF7C56">
              <w:rPr>
                <w:noProof/>
                <w:webHidden/>
              </w:rPr>
              <w:t>9</w:t>
            </w:r>
            <w:r w:rsidR="005921DB">
              <w:rPr>
                <w:noProof/>
                <w:webHidden/>
              </w:rPr>
              <w:fldChar w:fldCharType="end"/>
            </w:r>
          </w:hyperlink>
        </w:p>
        <w:p w:rsidR="005921DB" w:rsidRDefault="003C1402">
          <w:pPr>
            <w:pStyle w:val="Indholdsfortegnelse1"/>
            <w:tabs>
              <w:tab w:val="left" w:pos="440"/>
              <w:tab w:val="right" w:leader="dot" w:pos="9628"/>
            </w:tabs>
            <w:rPr>
              <w:rFonts w:asciiTheme="minorHAnsi" w:eastAsiaTheme="minorEastAsia" w:hAnsiTheme="minorHAnsi"/>
              <w:noProof/>
              <w:sz w:val="22"/>
              <w:szCs w:val="22"/>
              <w:lang w:eastAsia="da-DK"/>
            </w:rPr>
          </w:pPr>
          <w:hyperlink w:anchor="_Toc133169474" w:history="1">
            <w:r w:rsidR="005921DB" w:rsidRPr="00261CA4">
              <w:rPr>
                <w:rStyle w:val="Hyperlink"/>
                <w:noProof/>
              </w:rPr>
              <w:t>4.</w:t>
            </w:r>
            <w:r w:rsidR="005921DB">
              <w:rPr>
                <w:rFonts w:asciiTheme="minorHAnsi" w:eastAsiaTheme="minorEastAsia" w:hAnsiTheme="minorHAnsi"/>
                <w:noProof/>
                <w:sz w:val="22"/>
                <w:szCs w:val="22"/>
                <w:lang w:eastAsia="da-DK"/>
              </w:rPr>
              <w:tab/>
            </w:r>
            <w:r w:rsidR="005921DB" w:rsidRPr="00261CA4">
              <w:rPr>
                <w:rStyle w:val="Hyperlink"/>
                <w:noProof/>
              </w:rPr>
              <w:t>Dansk støtte til genopbygning i Ukraine 2023-24</w:t>
            </w:r>
            <w:r w:rsidR="005921DB">
              <w:rPr>
                <w:noProof/>
                <w:webHidden/>
              </w:rPr>
              <w:tab/>
            </w:r>
            <w:r w:rsidR="005921DB">
              <w:rPr>
                <w:noProof/>
                <w:webHidden/>
              </w:rPr>
              <w:fldChar w:fldCharType="begin"/>
            </w:r>
            <w:r w:rsidR="005921DB">
              <w:rPr>
                <w:noProof/>
                <w:webHidden/>
              </w:rPr>
              <w:instrText xml:space="preserve"> PAGEREF _Toc133169474 \h </w:instrText>
            </w:r>
            <w:r w:rsidR="005921DB">
              <w:rPr>
                <w:noProof/>
                <w:webHidden/>
              </w:rPr>
            </w:r>
            <w:r w:rsidR="005921DB">
              <w:rPr>
                <w:noProof/>
                <w:webHidden/>
              </w:rPr>
              <w:fldChar w:fldCharType="separate"/>
            </w:r>
            <w:r w:rsidR="00AF7C56">
              <w:rPr>
                <w:noProof/>
                <w:webHidden/>
              </w:rPr>
              <w:t>10</w:t>
            </w:r>
            <w:r w:rsidR="005921DB">
              <w:rPr>
                <w:noProof/>
                <w:webHidden/>
              </w:rPr>
              <w:fldChar w:fldCharType="end"/>
            </w:r>
          </w:hyperlink>
        </w:p>
        <w:p w:rsidR="005921DB" w:rsidRDefault="003C1402">
          <w:pPr>
            <w:pStyle w:val="Indholdsfortegnelse2"/>
            <w:tabs>
              <w:tab w:val="left" w:pos="880"/>
              <w:tab w:val="right" w:leader="dot" w:pos="9628"/>
            </w:tabs>
            <w:rPr>
              <w:rFonts w:asciiTheme="minorHAnsi" w:eastAsiaTheme="minorEastAsia" w:hAnsiTheme="minorHAnsi"/>
              <w:noProof/>
              <w:sz w:val="22"/>
              <w:szCs w:val="22"/>
              <w:lang w:eastAsia="da-DK"/>
            </w:rPr>
          </w:pPr>
          <w:hyperlink w:anchor="_Toc133169475" w:history="1">
            <w:r w:rsidR="005921DB" w:rsidRPr="00261CA4">
              <w:rPr>
                <w:rStyle w:val="Hyperlink"/>
                <w:noProof/>
              </w:rPr>
              <w:t>4.1</w:t>
            </w:r>
            <w:r w:rsidR="005921DB">
              <w:rPr>
                <w:rFonts w:asciiTheme="minorHAnsi" w:eastAsiaTheme="minorEastAsia" w:hAnsiTheme="minorHAnsi"/>
                <w:noProof/>
                <w:sz w:val="22"/>
                <w:szCs w:val="22"/>
                <w:lang w:eastAsia="da-DK"/>
              </w:rPr>
              <w:tab/>
            </w:r>
            <w:r w:rsidR="005921DB" w:rsidRPr="00261CA4">
              <w:rPr>
                <w:rStyle w:val="Hyperlink"/>
                <w:noProof/>
              </w:rPr>
              <w:t>Strategiske principper</w:t>
            </w:r>
            <w:r w:rsidR="005921DB">
              <w:rPr>
                <w:noProof/>
                <w:webHidden/>
              </w:rPr>
              <w:tab/>
            </w:r>
            <w:r w:rsidR="005921DB">
              <w:rPr>
                <w:noProof/>
                <w:webHidden/>
              </w:rPr>
              <w:fldChar w:fldCharType="begin"/>
            </w:r>
            <w:r w:rsidR="005921DB">
              <w:rPr>
                <w:noProof/>
                <w:webHidden/>
              </w:rPr>
              <w:instrText xml:space="preserve"> PAGEREF _Toc133169475 \h </w:instrText>
            </w:r>
            <w:r w:rsidR="005921DB">
              <w:rPr>
                <w:noProof/>
                <w:webHidden/>
              </w:rPr>
            </w:r>
            <w:r w:rsidR="005921DB">
              <w:rPr>
                <w:noProof/>
                <w:webHidden/>
              </w:rPr>
              <w:fldChar w:fldCharType="separate"/>
            </w:r>
            <w:r w:rsidR="00AF7C56">
              <w:rPr>
                <w:noProof/>
                <w:webHidden/>
              </w:rPr>
              <w:t>10</w:t>
            </w:r>
            <w:r w:rsidR="005921DB">
              <w:rPr>
                <w:noProof/>
                <w:webHidden/>
              </w:rPr>
              <w:fldChar w:fldCharType="end"/>
            </w:r>
          </w:hyperlink>
        </w:p>
        <w:p w:rsidR="005921DB" w:rsidRDefault="003C1402">
          <w:pPr>
            <w:pStyle w:val="Indholdsfortegnelse2"/>
            <w:tabs>
              <w:tab w:val="left" w:pos="880"/>
              <w:tab w:val="right" w:leader="dot" w:pos="9628"/>
            </w:tabs>
            <w:rPr>
              <w:rFonts w:asciiTheme="minorHAnsi" w:eastAsiaTheme="minorEastAsia" w:hAnsiTheme="minorHAnsi"/>
              <w:noProof/>
              <w:sz w:val="22"/>
              <w:szCs w:val="22"/>
              <w:lang w:eastAsia="da-DK"/>
            </w:rPr>
          </w:pPr>
          <w:hyperlink w:anchor="_Toc133169476" w:history="1">
            <w:r w:rsidR="005921DB" w:rsidRPr="00261CA4">
              <w:rPr>
                <w:rStyle w:val="Hyperlink"/>
                <w:noProof/>
              </w:rPr>
              <w:t>4.2</w:t>
            </w:r>
            <w:r w:rsidR="005921DB">
              <w:rPr>
                <w:rFonts w:asciiTheme="minorHAnsi" w:eastAsiaTheme="minorEastAsia" w:hAnsiTheme="minorHAnsi"/>
                <w:noProof/>
                <w:sz w:val="22"/>
                <w:szCs w:val="22"/>
                <w:lang w:eastAsia="da-DK"/>
              </w:rPr>
              <w:tab/>
            </w:r>
            <w:r w:rsidR="005921DB" w:rsidRPr="00261CA4">
              <w:rPr>
                <w:rStyle w:val="Hyperlink"/>
                <w:noProof/>
              </w:rPr>
              <w:t>Geografisk afgrænsning</w:t>
            </w:r>
            <w:r w:rsidR="005921DB">
              <w:rPr>
                <w:noProof/>
                <w:webHidden/>
              </w:rPr>
              <w:tab/>
            </w:r>
            <w:r w:rsidR="005921DB">
              <w:rPr>
                <w:noProof/>
                <w:webHidden/>
              </w:rPr>
              <w:fldChar w:fldCharType="begin"/>
            </w:r>
            <w:r w:rsidR="005921DB">
              <w:rPr>
                <w:noProof/>
                <w:webHidden/>
              </w:rPr>
              <w:instrText xml:space="preserve"> PAGEREF _Toc133169476 \h </w:instrText>
            </w:r>
            <w:r w:rsidR="005921DB">
              <w:rPr>
                <w:noProof/>
                <w:webHidden/>
              </w:rPr>
            </w:r>
            <w:r w:rsidR="005921DB">
              <w:rPr>
                <w:noProof/>
                <w:webHidden/>
              </w:rPr>
              <w:fldChar w:fldCharType="separate"/>
            </w:r>
            <w:r w:rsidR="00AF7C56">
              <w:rPr>
                <w:noProof/>
                <w:webHidden/>
              </w:rPr>
              <w:t>11</w:t>
            </w:r>
            <w:r w:rsidR="005921DB">
              <w:rPr>
                <w:noProof/>
                <w:webHidden/>
              </w:rPr>
              <w:fldChar w:fldCharType="end"/>
            </w:r>
          </w:hyperlink>
        </w:p>
        <w:p w:rsidR="005921DB" w:rsidRDefault="003C1402">
          <w:pPr>
            <w:pStyle w:val="Indholdsfortegnelse2"/>
            <w:tabs>
              <w:tab w:val="left" w:pos="880"/>
              <w:tab w:val="right" w:leader="dot" w:pos="9628"/>
            </w:tabs>
            <w:rPr>
              <w:rFonts w:asciiTheme="minorHAnsi" w:eastAsiaTheme="minorEastAsia" w:hAnsiTheme="minorHAnsi"/>
              <w:noProof/>
              <w:sz w:val="22"/>
              <w:szCs w:val="22"/>
              <w:lang w:eastAsia="da-DK"/>
            </w:rPr>
          </w:pPr>
          <w:hyperlink w:anchor="_Toc133169477" w:history="1">
            <w:r w:rsidR="005921DB" w:rsidRPr="00261CA4">
              <w:rPr>
                <w:rStyle w:val="Hyperlink"/>
                <w:noProof/>
              </w:rPr>
              <w:t>4.3</w:t>
            </w:r>
            <w:r w:rsidR="005921DB">
              <w:rPr>
                <w:rFonts w:asciiTheme="minorHAnsi" w:eastAsiaTheme="minorEastAsia" w:hAnsiTheme="minorHAnsi"/>
                <w:noProof/>
                <w:sz w:val="22"/>
                <w:szCs w:val="22"/>
                <w:lang w:eastAsia="da-DK"/>
              </w:rPr>
              <w:tab/>
            </w:r>
            <w:r w:rsidR="005921DB" w:rsidRPr="00261CA4">
              <w:rPr>
                <w:rStyle w:val="Hyperlink"/>
                <w:noProof/>
              </w:rPr>
              <w:t>Sektorfokus</w:t>
            </w:r>
            <w:r w:rsidR="005921DB">
              <w:rPr>
                <w:noProof/>
                <w:webHidden/>
              </w:rPr>
              <w:tab/>
            </w:r>
            <w:r w:rsidR="005921DB">
              <w:rPr>
                <w:noProof/>
                <w:webHidden/>
              </w:rPr>
              <w:fldChar w:fldCharType="begin"/>
            </w:r>
            <w:r w:rsidR="005921DB">
              <w:rPr>
                <w:noProof/>
                <w:webHidden/>
              </w:rPr>
              <w:instrText xml:space="preserve"> PAGEREF _Toc133169477 \h </w:instrText>
            </w:r>
            <w:r w:rsidR="005921DB">
              <w:rPr>
                <w:noProof/>
                <w:webHidden/>
              </w:rPr>
            </w:r>
            <w:r w:rsidR="005921DB">
              <w:rPr>
                <w:noProof/>
                <w:webHidden/>
              </w:rPr>
              <w:fldChar w:fldCharType="separate"/>
            </w:r>
            <w:r w:rsidR="00AF7C56">
              <w:rPr>
                <w:noProof/>
                <w:webHidden/>
              </w:rPr>
              <w:t>11</w:t>
            </w:r>
            <w:r w:rsidR="005921DB">
              <w:rPr>
                <w:noProof/>
                <w:webHidden/>
              </w:rPr>
              <w:fldChar w:fldCharType="end"/>
            </w:r>
          </w:hyperlink>
        </w:p>
        <w:p w:rsidR="005921DB" w:rsidRDefault="003C1402">
          <w:pPr>
            <w:pStyle w:val="Indholdsfortegnelse2"/>
            <w:tabs>
              <w:tab w:val="left" w:pos="880"/>
              <w:tab w:val="right" w:leader="dot" w:pos="9628"/>
            </w:tabs>
            <w:rPr>
              <w:rFonts w:asciiTheme="minorHAnsi" w:eastAsiaTheme="minorEastAsia" w:hAnsiTheme="minorHAnsi"/>
              <w:noProof/>
              <w:sz w:val="22"/>
              <w:szCs w:val="22"/>
              <w:lang w:eastAsia="da-DK"/>
            </w:rPr>
          </w:pPr>
          <w:hyperlink w:anchor="_Toc133169478" w:history="1">
            <w:r w:rsidR="005921DB" w:rsidRPr="00261CA4">
              <w:rPr>
                <w:rStyle w:val="Hyperlink"/>
                <w:noProof/>
              </w:rPr>
              <w:t>4.4</w:t>
            </w:r>
            <w:r w:rsidR="005921DB">
              <w:rPr>
                <w:rFonts w:asciiTheme="minorHAnsi" w:eastAsiaTheme="minorEastAsia" w:hAnsiTheme="minorHAnsi"/>
                <w:noProof/>
                <w:sz w:val="22"/>
                <w:szCs w:val="22"/>
                <w:lang w:eastAsia="da-DK"/>
              </w:rPr>
              <w:tab/>
            </w:r>
            <w:r w:rsidR="005921DB" w:rsidRPr="00261CA4">
              <w:rPr>
                <w:rStyle w:val="Hyperlink"/>
                <w:noProof/>
              </w:rPr>
              <w:t>Implementeringsmodaliteter og partnere</w:t>
            </w:r>
            <w:r w:rsidR="005921DB">
              <w:rPr>
                <w:noProof/>
                <w:webHidden/>
              </w:rPr>
              <w:tab/>
            </w:r>
            <w:r w:rsidR="005921DB">
              <w:rPr>
                <w:noProof/>
                <w:webHidden/>
              </w:rPr>
              <w:fldChar w:fldCharType="begin"/>
            </w:r>
            <w:r w:rsidR="005921DB">
              <w:rPr>
                <w:noProof/>
                <w:webHidden/>
              </w:rPr>
              <w:instrText xml:space="preserve"> PAGEREF _Toc133169478 \h </w:instrText>
            </w:r>
            <w:r w:rsidR="005921DB">
              <w:rPr>
                <w:noProof/>
                <w:webHidden/>
              </w:rPr>
            </w:r>
            <w:r w:rsidR="005921DB">
              <w:rPr>
                <w:noProof/>
                <w:webHidden/>
              </w:rPr>
              <w:fldChar w:fldCharType="separate"/>
            </w:r>
            <w:r w:rsidR="00AF7C56">
              <w:rPr>
                <w:noProof/>
                <w:webHidden/>
              </w:rPr>
              <w:t>11</w:t>
            </w:r>
            <w:r w:rsidR="005921DB">
              <w:rPr>
                <w:noProof/>
                <w:webHidden/>
              </w:rPr>
              <w:fldChar w:fldCharType="end"/>
            </w:r>
          </w:hyperlink>
        </w:p>
        <w:p w:rsidR="005921DB" w:rsidRDefault="003C1402">
          <w:pPr>
            <w:pStyle w:val="Indholdsfortegnelse2"/>
            <w:tabs>
              <w:tab w:val="left" w:pos="880"/>
              <w:tab w:val="right" w:leader="dot" w:pos="9628"/>
            </w:tabs>
            <w:rPr>
              <w:rFonts w:asciiTheme="minorHAnsi" w:eastAsiaTheme="minorEastAsia" w:hAnsiTheme="minorHAnsi"/>
              <w:noProof/>
              <w:sz w:val="22"/>
              <w:szCs w:val="22"/>
              <w:lang w:eastAsia="da-DK"/>
            </w:rPr>
          </w:pPr>
          <w:hyperlink w:anchor="_Toc133169479" w:history="1">
            <w:r w:rsidR="005921DB" w:rsidRPr="00261CA4">
              <w:rPr>
                <w:rStyle w:val="Hyperlink"/>
                <w:noProof/>
              </w:rPr>
              <w:t>4.5</w:t>
            </w:r>
            <w:r w:rsidR="005921DB">
              <w:rPr>
                <w:rFonts w:asciiTheme="minorHAnsi" w:eastAsiaTheme="minorEastAsia" w:hAnsiTheme="minorHAnsi"/>
                <w:noProof/>
                <w:sz w:val="22"/>
                <w:szCs w:val="22"/>
                <w:lang w:eastAsia="da-DK"/>
              </w:rPr>
              <w:tab/>
            </w:r>
            <w:r w:rsidR="005921DB" w:rsidRPr="00261CA4">
              <w:rPr>
                <w:rStyle w:val="Hyperlink"/>
                <w:noProof/>
              </w:rPr>
              <w:t>Korruptionsudfordringer – partnervalg, administration og styrket tilsyn</w:t>
            </w:r>
            <w:r w:rsidR="005921DB">
              <w:rPr>
                <w:noProof/>
                <w:webHidden/>
              </w:rPr>
              <w:tab/>
            </w:r>
            <w:r w:rsidR="005921DB">
              <w:rPr>
                <w:noProof/>
                <w:webHidden/>
              </w:rPr>
              <w:fldChar w:fldCharType="begin"/>
            </w:r>
            <w:r w:rsidR="005921DB">
              <w:rPr>
                <w:noProof/>
                <w:webHidden/>
              </w:rPr>
              <w:instrText xml:space="preserve"> PAGEREF _Toc133169479 \h </w:instrText>
            </w:r>
            <w:r w:rsidR="005921DB">
              <w:rPr>
                <w:noProof/>
                <w:webHidden/>
              </w:rPr>
            </w:r>
            <w:r w:rsidR="005921DB">
              <w:rPr>
                <w:noProof/>
                <w:webHidden/>
              </w:rPr>
              <w:fldChar w:fldCharType="separate"/>
            </w:r>
            <w:r w:rsidR="00AF7C56">
              <w:rPr>
                <w:noProof/>
                <w:webHidden/>
              </w:rPr>
              <w:t>12</w:t>
            </w:r>
            <w:r w:rsidR="005921DB">
              <w:rPr>
                <w:noProof/>
                <w:webHidden/>
              </w:rPr>
              <w:fldChar w:fldCharType="end"/>
            </w:r>
          </w:hyperlink>
        </w:p>
        <w:p w:rsidR="005921DB" w:rsidRDefault="003C1402">
          <w:pPr>
            <w:pStyle w:val="Indholdsfortegnelse2"/>
            <w:tabs>
              <w:tab w:val="left" w:pos="880"/>
              <w:tab w:val="right" w:leader="dot" w:pos="9628"/>
            </w:tabs>
            <w:rPr>
              <w:rFonts w:asciiTheme="minorHAnsi" w:eastAsiaTheme="minorEastAsia" w:hAnsiTheme="minorHAnsi"/>
              <w:noProof/>
              <w:sz w:val="22"/>
              <w:szCs w:val="22"/>
              <w:lang w:eastAsia="da-DK"/>
            </w:rPr>
          </w:pPr>
          <w:hyperlink w:anchor="_Toc133169480" w:history="1">
            <w:r w:rsidR="005921DB" w:rsidRPr="00261CA4">
              <w:rPr>
                <w:rStyle w:val="Hyperlink"/>
                <w:noProof/>
              </w:rPr>
              <w:t>4.6</w:t>
            </w:r>
            <w:r w:rsidR="005921DB">
              <w:rPr>
                <w:rFonts w:asciiTheme="minorHAnsi" w:eastAsiaTheme="minorEastAsia" w:hAnsiTheme="minorHAnsi"/>
                <w:noProof/>
                <w:sz w:val="22"/>
                <w:szCs w:val="22"/>
                <w:lang w:eastAsia="da-DK"/>
              </w:rPr>
              <w:tab/>
            </w:r>
            <w:r w:rsidR="005921DB" w:rsidRPr="00261CA4">
              <w:rPr>
                <w:rStyle w:val="Hyperlink"/>
                <w:noProof/>
              </w:rPr>
              <w:t>Specifikke indsatser</w:t>
            </w:r>
            <w:r w:rsidR="005921DB">
              <w:rPr>
                <w:noProof/>
                <w:webHidden/>
              </w:rPr>
              <w:tab/>
            </w:r>
            <w:r w:rsidR="005921DB">
              <w:rPr>
                <w:noProof/>
                <w:webHidden/>
              </w:rPr>
              <w:fldChar w:fldCharType="begin"/>
            </w:r>
            <w:r w:rsidR="005921DB">
              <w:rPr>
                <w:noProof/>
                <w:webHidden/>
              </w:rPr>
              <w:instrText xml:space="preserve"> PAGEREF _Toc133169480 \h </w:instrText>
            </w:r>
            <w:r w:rsidR="005921DB">
              <w:rPr>
                <w:noProof/>
                <w:webHidden/>
              </w:rPr>
            </w:r>
            <w:r w:rsidR="005921DB">
              <w:rPr>
                <w:noProof/>
                <w:webHidden/>
              </w:rPr>
              <w:fldChar w:fldCharType="separate"/>
            </w:r>
            <w:r w:rsidR="00AF7C56">
              <w:rPr>
                <w:noProof/>
                <w:webHidden/>
              </w:rPr>
              <w:t>12</w:t>
            </w:r>
            <w:r w:rsidR="005921DB">
              <w:rPr>
                <w:noProof/>
                <w:webHidden/>
              </w:rPr>
              <w:fldChar w:fldCharType="end"/>
            </w:r>
          </w:hyperlink>
        </w:p>
        <w:p w:rsidR="005921DB" w:rsidRDefault="003C1402">
          <w:pPr>
            <w:pStyle w:val="Indholdsfortegnelse2"/>
            <w:tabs>
              <w:tab w:val="left" w:pos="880"/>
              <w:tab w:val="right" w:leader="dot" w:pos="9628"/>
            </w:tabs>
            <w:rPr>
              <w:rFonts w:asciiTheme="minorHAnsi" w:eastAsiaTheme="minorEastAsia" w:hAnsiTheme="minorHAnsi"/>
              <w:noProof/>
              <w:sz w:val="22"/>
              <w:szCs w:val="22"/>
              <w:lang w:eastAsia="da-DK"/>
            </w:rPr>
          </w:pPr>
          <w:hyperlink w:anchor="_Toc133169481" w:history="1">
            <w:r w:rsidR="005921DB" w:rsidRPr="00261CA4">
              <w:rPr>
                <w:rStyle w:val="Hyperlink"/>
                <w:noProof/>
              </w:rPr>
              <w:t>4.7</w:t>
            </w:r>
            <w:r w:rsidR="005921DB">
              <w:rPr>
                <w:rFonts w:asciiTheme="minorHAnsi" w:eastAsiaTheme="minorEastAsia" w:hAnsiTheme="minorHAnsi"/>
                <w:noProof/>
                <w:sz w:val="22"/>
                <w:szCs w:val="22"/>
                <w:lang w:eastAsia="da-DK"/>
              </w:rPr>
              <w:tab/>
            </w:r>
            <w:r w:rsidR="005921DB" w:rsidRPr="00261CA4">
              <w:rPr>
                <w:rStyle w:val="Hyperlink"/>
                <w:noProof/>
              </w:rPr>
              <w:t>Synergi</w:t>
            </w:r>
            <w:r w:rsidR="005921DB">
              <w:rPr>
                <w:noProof/>
                <w:webHidden/>
              </w:rPr>
              <w:tab/>
            </w:r>
            <w:r w:rsidR="005921DB">
              <w:rPr>
                <w:noProof/>
                <w:webHidden/>
              </w:rPr>
              <w:fldChar w:fldCharType="begin"/>
            </w:r>
            <w:r w:rsidR="005921DB">
              <w:rPr>
                <w:noProof/>
                <w:webHidden/>
              </w:rPr>
              <w:instrText xml:space="preserve"> PAGEREF _Toc133169481 \h </w:instrText>
            </w:r>
            <w:r w:rsidR="005921DB">
              <w:rPr>
                <w:noProof/>
                <w:webHidden/>
              </w:rPr>
            </w:r>
            <w:r w:rsidR="005921DB">
              <w:rPr>
                <w:noProof/>
                <w:webHidden/>
              </w:rPr>
              <w:fldChar w:fldCharType="separate"/>
            </w:r>
            <w:r w:rsidR="00AF7C56">
              <w:rPr>
                <w:noProof/>
                <w:webHidden/>
              </w:rPr>
              <w:t>15</w:t>
            </w:r>
            <w:r w:rsidR="005921DB">
              <w:rPr>
                <w:noProof/>
                <w:webHidden/>
              </w:rPr>
              <w:fldChar w:fldCharType="end"/>
            </w:r>
          </w:hyperlink>
        </w:p>
        <w:p w:rsidR="005921DB" w:rsidRDefault="003C1402">
          <w:pPr>
            <w:pStyle w:val="Indholdsfortegnelse2"/>
            <w:tabs>
              <w:tab w:val="left" w:pos="880"/>
              <w:tab w:val="right" w:leader="dot" w:pos="9628"/>
            </w:tabs>
            <w:rPr>
              <w:rFonts w:asciiTheme="minorHAnsi" w:eastAsiaTheme="minorEastAsia" w:hAnsiTheme="minorHAnsi"/>
              <w:noProof/>
              <w:sz w:val="22"/>
              <w:szCs w:val="22"/>
              <w:lang w:eastAsia="da-DK"/>
            </w:rPr>
          </w:pPr>
          <w:hyperlink w:anchor="_Toc133169482" w:history="1">
            <w:r w:rsidR="005921DB" w:rsidRPr="00261CA4">
              <w:rPr>
                <w:rStyle w:val="Hyperlink"/>
                <w:noProof/>
              </w:rPr>
              <w:t>4.8</w:t>
            </w:r>
            <w:r w:rsidR="005921DB">
              <w:rPr>
                <w:rFonts w:asciiTheme="minorHAnsi" w:eastAsiaTheme="minorEastAsia" w:hAnsiTheme="minorHAnsi"/>
                <w:noProof/>
                <w:sz w:val="22"/>
                <w:szCs w:val="22"/>
                <w:lang w:eastAsia="da-DK"/>
              </w:rPr>
              <w:tab/>
            </w:r>
            <w:r w:rsidR="005921DB" w:rsidRPr="00261CA4">
              <w:rPr>
                <w:rStyle w:val="Hyperlink"/>
                <w:noProof/>
              </w:rPr>
              <w:t>Budget</w:t>
            </w:r>
            <w:r w:rsidR="005921DB">
              <w:rPr>
                <w:noProof/>
                <w:webHidden/>
              </w:rPr>
              <w:tab/>
            </w:r>
            <w:r w:rsidR="005921DB">
              <w:rPr>
                <w:noProof/>
                <w:webHidden/>
              </w:rPr>
              <w:fldChar w:fldCharType="begin"/>
            </w:r>
            <w:r w:rsidR="005921DB">
              <w:rPr>
                <w:noProof/>
                <w:webHidden/>
              </w:rPr>
              <w:instrText xml:space="preserve"> PAGEREF _Toc133169482 \h </w:instrText>
            </w:r>
            <w:r w:rsidR="005921DB">
              <w:rPr>
                <w:noProof/>
                <w:webHidden/>
              </w:rPr>
            </w:r>
            <w:r w:rsidR="005921DB">
              <w:rPr>
                <w:noProof/>
                <w:webHidden/>
              </w:rPr>
              <w:fldChar w:fldCharType="separate"/>
            </w:r>
            <w:r w:rsidR="00AF7C56">
              <w:rPr>
                <w:noProof/>
                <w:webHidden/>
              </w:rPr>
              <w:t>16</w:t>
            </w:r>
            <w:r w:rsidR="005921DB">
              <w:rPr>
                <w:noProof/>
                <w:webHidden/>
              </w:rPr>
              <w:fldChar w:fldCharType="end"/>
            </w:r>
          </w:hyperlink>
        </w:p>
        <w:p w:rsidR="005921DB" w:rsidRDefault="003C1402">
          <w:pPr>
            <w:pStyle w:val="Indholdsfortegnelse1"/>
            <w:tabs>
              <w:tab w:val="left" w:pos="440"/>
              <w:tab w:val="right" w:leader="dot" w:pos="9628"/>
            </w:tabs>
            <w:rPr>
              <w:rFonts w:asciiTheme="minorHAnsi" w:eastAsiaTheme="minorEastAsia" w:hAnsiTheme="minorHAnsi"/>
              <w:noProof/>
              <w:sz w:val="22"/>
              <w:szCs w:val="22"/>
              <w:lang w:eastAsia="da-DK"/>
            </w:rPr>
          </w:pPr>
          <w:hyperlink w:anchor="_Toc133169483" w:history="1">
            <w:r w:rsidR="005921DB" w:rsidRPr="00261CA4">
              <w:rPr>
                <w:rStyle w:val="Hyperlink"/>
                <w:noProof/>
              </w:rPr>
              <w:t>5.</w:t>
            </w:r>
            <w:r w:rsidR="005921DB">
              <w:rPr>
                <w:rFonts w:asciiTheme="minorHAnsi" w:eastAsiaTheme="minorEastAsia" w:hAnsiTheme="minorHAnsi"/>
                <w:noProof/>
                <w:sz w:val="22"/>
                <w:szCs w:val="22"/>
                <w:lang w:eastAsia="da-DK"/>
              </w:rPr>
              <w:tab/>
            </w:r>
            <w:r w:rsidR="005921DB" w:rsidRPr="00261CA4">
              <w:rPr>
                <w:rStyle w:val="Hyperlink"/>
                <w:noProof/>
              </w:rPr>
              <w:t>Monitorering</w:t>
            </w:r>
            <w:r w:rsidR="005921DB">
              <w:rPr>
                <w:noProof/>
                <w:webHidden/>
              </w:rPr>
              <w:tab/>
            </w:r>
            <w:r w:rsidR="005921DB">
              <w:rPr>
                <w:noProof/>
                <w:webHidden/>
              </w:rPr>
              <w:fldChar w:fldCharType="begin"/>
            </w:r>
            <w:r w:rsidR="005921DB">
              <w:rPr>
                <w:noProof/>
                <w:webHidden/>
              </w:rPr>
              <w:instrText xml:space="preserve"> PAGEREF _Toc133169483 \h </w:instrText>
            </w:r>
            <w:r w:rsidR="005921DB">
              <w:rPr>
                <w:noProof/>
                <w:webHidden/>
              </w:rPr>
            </w:r>
            <w:r w:rsidR="005921DB">
              <w:rPr>
                <w:noProof/>
                <w:webHidden/>
              </w:rPr>
              <w:fldChar w:fldCharType="separate"/>
            </w:r>
            <w:r w:rsidR="00AF7C56">
              <w:rPr>
                <w:noProof/>
                <w:webHidden/>
              </w:rPr>
              <w:t>17</w:t>
            </w:r>
            <w:r w:rsidR="005921DB">
              <w:rPr>
                <w:noProof/>
                <w:webHidden/>
              </w:rPr>
              <w:fldChar w:fldCharType="end"/>
            </w:r>
          </w:hyperlink>
        </w:p>
        <w:p w:rsidR="0071451B" w:rsidRDefault="0071451B" w:rsidP="00395042">
          <w:r>
            <w:rPr>
              <w:b/>
              <w:bCs/>
            </w:rPr>
            <w:fldChar w:fldCharType="end"/>
          </w:r>
        </w:p>
      </w:sdtContent>
    </w:sdt>
    <w:p w:rsidR="003E2CA5" w:rsidRPr="00767B56" w:rsidRDefault="003E2CA5" w:rsidP="00395042">
      <w:pPr>
        <w:pStyle w:val="Overskrift1"/>
        <w:numPr>
          <w:ilvl w:val="0"/>
          <w:numId w:val="25"/>
        </w:numPr>
      </w:pPr>
      <w:bookmarkStart w:id="1" w:name="_Toc133169458"/>
      <w:r w:rsidRPr="00767B56">
        <w:lastRenderedPageBreak/>
        <w:t>Introduktion</w:t>
      </w:r>
      <w:bookmarkEnd w:id="1"/>
      <w:r w:rsidRPr="00767B56">
        <w:t xml:space="preserve"> </w:t>
      </w:r>
    </w:p>
    <w:p w:rsidR="00767B56" w:rsidRDefault="00767B56" w:rsidP="00395042">
      <w:pPr>
        <w:spacing w:after="0"/>
        <w:jc w:val="both"/>
      </w:pPr>
    </w:p>
    <w:p w:rsidR="00767B56" w:rsidRDefault="00767B56" w:rsidP="00395042">
      <w:pPr>
        <w:pStyle w:val="Overskrift2"/>
      </w:pPr>
      <w:bookmarkStart w:id="2" w:name="_Toc133169459"/>
      <w:r>
        <w:t>1.1 Baggrund</w:t>
      </w:r>
      <w:bookmarkEnd w:id="2"/>
    </w:p>
    <w:p w:rsidR="003E2CA5" w:rsidRDefault="003E2CA5" w:rsidP="00395042">
      <w:pPr>
        <w:spacing w:after="0"/>
        <w:jc w:val="both"/>
      </w:pPr>
      <w:r>
        <w:t>Danmark har støttet Ukraine siden 2004 gennem udviklingsstøtte til den østlige naboregion, det såkaldte Naboskabsprogram. Efter Maidan-</w:t>
      </w:r>
      <w:r w:rsidR="00495AD8">
        <w:t>revolutionen</w:t>
      </w:r>
      <w:r>
        <w:t xml:space="preserve"> i Ukraine i 2014 har der i stigende grad været fokus på at fremme landets EU-tilnærmelse og reformer inden for såvel god regeringsførelse, demokrati og menneskerettigheder som støtte til vækst, bedre arbejdsmarkedsforhold og energi-omstilling. Parallelt har Danmark gennem Freds- og Stabiliseringsfonden støttet kapacitetsopbygning af det ukrainske forsvar og en særlig indsats rettet mod Østukraine, der siden 2014 har været præget af kampe </w:t>
      </w:r>
      <w:r w:rsidR="002C7AFA">
        <w:t>langs den såkaldte kontaktlinje.</w:t>
      </w:r>
      <w:r>
        <w:t xml:space="preserve"> </w:t>
      </w:r>
    </w:p>
    <w:p w:rsidR="003E2CA5" w:rsidRDefault="003E2CA5" w:rsidP="00395042">
      <w:pPr>
        <w:spacing w:after="0"/>
        <w:jc w:val="both"/>
      </w:pPr>
    </w:p>
    <w:p w:rsidR="003E2CA5" w:rsidRDefault="003E2CA5" w:rsidP="00395042">
      <w:pPr>
        <w:spacing w:after="0"/>
        <w:jc w:val="both"/>
      </w:pPr>
      <w:r>
        <w:t>Ruslands brutale invasion af Ukraine den 24. februar 2022 har mere end nogen anden krise siden Den Kolde Krig forandret den sikkerhedspolitiske situation i Europa.</w:t>
      </w:r>
      <w:r w:rsidR="00FD7A0E" w:rsidRPr="00FD7A0E">
        <w:t xml:space="preserve"> D</w:t>
      </w:r>
      <w:r w:rsidR="008B2D6F">
        <w:t xml:space="preserve">anmark har fra krigens </w:t>
      </w:r>
      <w:r w:rsidR="00FD7A0E">
        <w:t xml:space="preserve">start prioriteret </w:t>
      </w:r>
      <w:r w:rsidR="008B2D6F">
        <w:t xml:space="preserve">at yde </w:t>
      </w:r>
      <w:r w:rsidR="00FD7A0E">
        <w:t xml:space="preserve">markant </w:t>
      </w:r>
      <w:r>
        <w:t>humanitær, politisk, militær og økonomisk støtte</w:t>
      </w:r>
      <w:r w:rsidR="00FD7A0E">
        <w:t xml:space="preserve"> til </w:t>
      </w:r>
      <w:r w:rsidR="008B2D6F">
        <w:t>Ukraine</w:t>
      </w:r>
      <w:r>
        <w:t xml:space="preserve">. Både med henblik på at sikre befolkningens leveforhold og sikkerhed på kort sigt, men også for at skabe forudsætninger for en mere bæredygtig og langsigtet genopbygning af landet. </w:t>
      </w:r>
    </w:p>
    <w:p w:rsidR="003E2CA5" w:rsidRDefault="003E2CA5" w:rsidP="00395042">
      <w:pPr>
        <w:spacing w:after="0"/>
        <w:jc w:val="both"/>
      </w:pPr>
    </w:p>
    <w:p w:rsidR="00566638" w:rsidRDefault="00566638" w:rsidP="00566638">
      <w:pPr>
        <w:spacing w:after="0"/>
        <w:jc w:val="both"/>
      </w:pPr>
      <w:r>
        <w:t xml:space="preserve">I det første år af krigen støttede den danske regering Ukraine med 6,3 mia. kr. i civil og militær støtte. </w:t>
      </w:r>
      <w:r w:rsidR="004F4E78">
        <w:t>I tillæg h</w:t>
      </w:r>
      <w:r>
        <w:t>ertil tog Danmark imod ca. 33.000 fordrevne fra Ukraine. Den 15. marts 2023 annoncerede regeringen en ny Ukrainefond på 7 mia. kr. for 2023. Ukrainefonden omfatter tre ben:</w:t>
      </w:r>
    </w:p>
    <w:p w:rsidR="003E2CA5" w:rsidRDefault="003E2CA5" w:rsidP="00395042">
      <w:pPr>
        <w:spacing w:after="0"/>
        <w:jc w:val="both"/>
      </w:pPr>
    </w:p>
    <w:p w:rsidR="003E2CA5" w:rsidRDefault="003E2CA5" w:rsidP="00395042">
      <w:pPr>
        <w:pStyle w:val="Listeafsnit"/>
        <w:numPr>
          <w:ilvl w:val="0"/>
          <w:numId w:val="26"/>
        </w:numPr>
        <w:spacing w:after="0"/>
        <w:jc w:val="both"/>
      </w:pPr>
      <w:r>
        <w:t xml:space="preserve">Militær støtte, herunder bl.a. med henblik på etablering af den nødvendige sikkerhed for civilbefolkningens tilbagevenden samt for langsigtet genopbygning af Ukraine. </w:t>
      </w:r>
    </w:p>
    <w:p w:rsidR="001E5791" w:rsidRDefault="001E5791" w:rsidP="001E5791">
      <w:pPr>
        <w:pStyle w:val="Listeafsnit"/>
        <w:numPr>
          <w:ilvl w:val="0"/>
          <w:numId w:val="11"/>
        </w:numPr>
        <w:spacing w:after="0"/>
        <w:jc w:val="both"/>
      </w:pPr>
      <w:r>
        <w:t xml:space="preserve">Civil støtte målrettet akutte indsatser, langsigtet genopbygning og humanitær støtte. </w:t>
      </w:r>
    </w:p>
    <w:p w:rsidR="003E2CA5" w:rsidRDefault="003E2CA5" w:rsidP="00395042">
      <w:pPr>
        <w:pStyle w:val="Listeafsnit"/>
        <w:numPr>
          <w:ilvl w:val="0"/>
          <w:numId w:val="26"/>
        </w:numPr>
        <w:spacing w:after="0"/>
        <w:jc w:val="both"/>
      </w:pPr>
      <w:r>
        <w:t>Støtte til erhvervsindsatser.</w:t>
      </w:r>
    </w:p>
    <w:p w:rsidR="003E2CA5" w:rsidRDefault="003E2CA5" w:rsidP="00395042">
      <w:pPr>
        <w:spacing w:after="0"/>
        <w:jc w:val="both"/>
        <w:rPr>
          <w:u w:val="single"/>
        </w:rPr>
      </w:pPr>
    </w:p>
    <w:p w:rsidR="003E2CA5" w:rsidRDefault="00767B56" w:rsidP="00395042">
      <w:pPr>
        <w:pStyle w:val="Overskrift2"/>
      </w:pPr>
      <w:bookmarkStart w:id="3" w:name="_Toc133169460"/>
      <w:r>
        <w:t xml:space="preserve">1.2 </w:t>
      </w:r>
      <w:r w:rsidR="003E2CA5">
        <w:t>Mykolaiv – Danmark Partnerskab</w:t>
      </w:r>
      <w:bookmarkEnd w:id="3"/>
    </w:p>
    <w:p w:rsidR="003E2CA5" w:rsidRDefault="003E2CA5" w:rsidP="00395042">
      <w:pPr>
        <w:spacing w:after="0"/>
        <w:jc w:val="both"/>
      </w:pPr>
      <w:r>
        <w:t xml:space="preserve">På opfordring af præsident Zelensky blev der i april 2022, under den danske statsministers besøg i Kyiv, truffet aftale om, at Danmark ville påtage sig en særlig rolle i genopbygningen af byen og regionen Mykolaiv i det sydlige Ukraine. </w:t>
      </w:r>
    </w:p>
    <w:p w:rsidR="003E2CA5" w:rsidRDefault="003E2CA5" w:rsidP="00395042">
      <w:pPr>
        <w:spacing w:after="0"/>
        <w:jc w:val="both"/>
      </w:pPr>
    </w:p>
    <w:p w:rsidR="00566638" w:rsidRDefault="003E2CA5" w:rsidP="00395042">
      <w:pPr>
        <w:spacing w:after="0"/>
        <w:jc w:val="both"/>
      </w:pPr>
      <w:r>
        <w:t>I juni 2022 præsenterede Danmark et konceptpapir</w:t>
      </w:r>
      <w:r w:rsidR="001B1063">
        <w:t xml:space="preserve"> for samarbejdet</w:t>
      </w:r>
      <w:r>
        <w:t>, udar</w:t>
      </w:r>
      <w:r w:rsidR="001B1063">
        <w:t>bejdet i samarbejde med Mykolaiv</w:t>
      </w:r>
      <w:r>
        <w:t>. Konceptpapiret identificerer otte mulige samarbejdsområder, hvor Danmark kan bid</w:t>
      </w:r>
      <w:r w:rsidR="002C7AFA">
        <w:t xml:space="preserve">rage med know-how og samarbejde: grøn omstilling, infrastruktur, transport, byplanlægning, maritim sektor, </w:t>
      </w:r>
      <w:r w:rsidR="00AC505D">
        <w:t>investeringer</w:t>
      </w:r>
      <w:r w:rsidR="00711F81">
        <w:t xml:space="preserve"> og</w:t>
      </w:r>
      <w:r w:rsidR="00AC505D">
        <w:t xml:space="preserve"> </w:t>
      </w:r>
      <w:r w:rsidR="002C7AFA">
        <w:t xml:space="preserve">udvikling </w:t>
      </w:r>
      <w:r w:rsidR="00AC505D">
        <w:t>af små og mellemstore virksomheder</w:t>
      </w:r>
      <w:r w:rsidR="002C7AFA">
        <w:t>, god regeringsførelse og transparens</w:t>
      </w:r>
      <w:r w:rsidR="001B1063">
        <w:t>,</w:t>
      </w:r>
      <w:r w:rsidR="002C7AFA">
        <w:t xml:space="preserve"> samt </w:t>
      </w:r>
      <w:r w:rsidR="00AC505D">
        <w:t xml:space="preserve">fremme af </w:t>
      </w:r>
      <w:r w:rsidR="002C7AFA">
        <w:t>ungdom</w:t>
      </w:r>
      <w:r w:rsidR="00AC505D">
        <w:t>sengagement</w:t>
      </w:r>
      <w:r w:rsidR="002C7AFA">
        <w:t xml:space="preserve"> og kultur. </w:t>
      </w:r>
      <w:r>
        <w:t>Den overordnede målsætning er, at Mykolaiv over en 10</w:t>
      </w:r>
      <w:r w:rsidR="008C0FF6">
        <w:t>-</w:t>
      </w:r>
      <w:r>
        <w:t>årig periode udvikler sig til en by kendt for ’</w:t>
      </w:r>
      <w:r>
        <w:rPr>
          <w:i/>
        </w:rPr>
        <w:t>conducive business environment, dedicated efforts in the green transition and with cosolidated good governance’</w:t>
      </w:r>
      <w:r w:rsidR="002C7AFA">
        <w:t xml:space="preserve">. </w:t>
      </w:r>
      <w:r>
        <w:t>I konceptpapiret understreges Danmarks vilje til samtidig at bidrage til den generelle genopbygning i Ukraine og det fremhævedes</w:t>
      </w:r>
      <w:r w:rsidR="004F4E78">
        <w:t>,</w:t>
      </w:r>
      <w:r>
        <w:t xml:space="preserve"> at det er vigtigt, at </w:t>
      </w:r>
      <w:r w:rsidR="004F4E78">
        <w:t xml:space="preserve">genopbygningen </w:t>
      </w:r>
      <w:r>
        <w:t>foregår under ukrainsk lederskab og ukrainsk fastsatte prioriteter – samt med stærk international koordinering.</w:t>
      </w:r>
    </w:p>
    <w:p w:rsidR="003E2CA5" w:rsidRDefault="003E2CA5" w:rsidP="00395042">
      <w:pPr>
        <w:spacing w:after="0"/>
        <w:jc w:val="both"/>
        <w:rPr>
          <w:u w:val="single"/>
        </w:rPr>
      </w:pPr>
      <w:r>
        <w:t xml:space="preserve"> </w:t>
      </w:r>
    </w:p>
    <w:p w:rsidR="003E2CA5" w:rsidRDefault="00767B56" w:rsidP="00395042">
      <w:pPr>
        <w:pStyle w:val="Overskrift2"/>
      </w:pPr>
      <w:bookmarkStart w:id="4" w:name="_Toc133169461"/>
      <w:r>
        <w:t>1.3 D</w:t>
      </w:r>
      <w:r w:rsidR="003E2CA5">
        <w:t>anske aktører</w:t>
      </w:r>
      <w:bookmarkEnd w:id="4"/>
    </w:p>
    <w:p w:rsidR="003E2CA5" w:rsidRDefault="003E2CA5" w:rsidP="00395042">
      <w:pPr>
        <w:spacing w:after="0"/>
        <w:jc w:val="both"/>
      </w:pPr>
      <w:r>
        <w:t xml:space="preserve">Den danske støtte til Ukraine siden 24. februar 2022 har omfattet en bred vifte af aktører. Ud over Udenrigsministeriet har en række ministerier og styrelser været involveret og bidraget på </w:t>
      </w:r>
      <w:r>
        <w:lastRenderedPageBreak/>
        <w:t>hver deres områder. Det samme gælder private firmaer og fonde, der har</w:t>
      </w:r>
      <w:r w:rsidR="008C0FF6">
        <w:t xml:space="preserve"> bidraget med donationer og pro </w:t>
      </w:r>
      <w:r>
        <w:t xml:space="preserve">bono ydelser og/eller har indgået i private-offentlige partnerskaber. Samtidig har både store og mindre </w:t>
      </w:r>
      <w:r w:rsidR="001E5791">
        <w:t>civilsamfundsorganisationer</w:t>
      </w:r>
      <w:r>
        <w:t xml:space="preserve"> organisationer, sammen </w:t>
      </w:r>
      <w:r w:rsidR="00535E3C">
        <w:t xml:space="preserve">med </w:t>
      </w:r>
      <w:r>
        <w:t>en lang række folkelig</w:t>
      </w:r>
      <w:r w:rsidR="000E3CC1">
        <w:t>e</w:t>
      </w:r>
      <w:r>
        <w:t xml:space="preserve"> initiativer, bidraget til en meget betydelig akut bistand. Det er regeringens mål, at en sådan ’Whole of Denmark’ tilgang, der inkluderer </w:t>
      </w:r>
      <w:r w:rsidR="004A29D6">
        <w:t>’</w:t>
      </w:r>
      <w:r>
        <w:t xml:space="preserve">Whole of Government’ og en bred vifte af private aktører i det danske samfund, er basis for både den </w:t>
      </w:r>
      <w:r w:rsidR="00AC505D">
        <w:t xml:space="preserve">generelle </w:t>
      </w:r>
      <w:r>
        <w:t xml:space="preserve">danske bistand til Ukraine og </w:t>
      </w:r>
      <w:r w:rsidR="000E3CC1">
        <w:t xml:space="preserve">for </w:t>
      </w:r>
      <w:r>
        <w:t xml:space="preserve">den danske bistand </w:t>
      </w:r>
      <w:r w:rsidR="000E3CC1">
        <w:t xml:space="preserve">målrettet </w:t>
      </w:r>
      <w:r>
        <w:t xml:space="preserve">genopbygning af landet. </w:t>
      </w:r>
    </w:p>
    <w:p w:rsidR="003E2CA5" w:rsidRDefault="003E2CA5" w:rsidP="00395042">
      <w:pPr>
        <w:spacing w:after="0"/>
        <w:jc w:val="both"/>
        <w:rPr>
          <w:u w:val="single"/>
        </w:rPr>
      </w:pPr>
    </w:p>
    <w:p w:rsidR="003E2CA5" w:rsidRDefault="00182E29" w:rsidP="00395042">
      <w:pPr>
        <w:pStyle w:val="Overskrift2"/>
      </w:pPr>
      <w:bookmarkStart w:id="5" w:name="_Toc133169462"/>
      <w:r>
        <w:t>1</w:t>
      </w:r>
      <w:r w:rsidR="004A29D6">
        <w:t xml:space="preserve">.4 </w:t>
      </w:r>
      <w:r w:rsidR="00FD4B4F">
        <w:t>Strateginote</w:t>
      </w:r>
      <w:r w:rsidR="003E2CA5">
        <w:t xml:space="preserve"> – en bred overlægger for den danske genopbygningsindsats</w:t>
      </w:r>
      <w:bookmarkEnd w:id="5"/>
    </w:p>
    <w:p w:rsidR="003E2CA5" w:rsidRDefault="003E2CA5" w:rsidP="002C6B56">
      <w:pPr>
        <w:spacing w:after="0"/>
        <w:jc w:val="both"/>
      </w:pPr>
      <w:r>
        <w:t xml:space="preserve">Ukrainefondens civile støtte omfatter i alt 1,2 mia. kr. i 2023 til både genopbygning, humanitær bistand og støtte til reformer og demokratisering. Af disse midler er i alt 770 mio. kr. målrettet genopbygning. </w:t>
      </w:r>
      <w:r w:rsidR="002C6B56">
        <w:t>600 mio. kr. er afsat til generel genopbygningsbistand mens yderligere i alt 170 mio. kr. til genopbygning kanaliseres via IFU (110 mio. kr.) og Danida Infrastructure Finance (60 mio. kr.).</w:t>
      </w:r>
      <w:r>
        <w:t xml:space="preserve"> </w:t>
      </w:r>
    </w:p>
    <w:p w:rsidR="003E2CA5" w:rsidRDefault="003E2CA5" w:rsidP="00395042">
      <w:pPr>
        <w:spacing w:after="0"/>
        <w:jc w:val="both"/>
      </w:pPr>
    </w:p>
    <w:p w:rsidR="003E2CA5" w:rsidRDefault="00FD4B4F" w:rsidP="00395042">
      <w:pPr>
        <w:spacing w:after="0"/>
        <w:jc w:val="both"/>
      </w:pPr>
      <w:r>
        <w:t>Strategi</w:t>
      </w:r>
      <w:r w:rsidR="00343AA1">
        <w:t>noten</w:t>
      </w:r>
      <w:r w:rsidR="003E2CA5">
        <w:t xml:space="preserve"> skal etablere mål, prioriteter og principper for </w:t>
      </w:r>
      <w:r w:rsidR="00126A48">
        <w:t xml:space="preserve">de 770 mio. kr. i </w:t>
      </w:r>
      <w:r w:rsidR="003E2CA5">
        <w:t xml:space="preserve">dansk statslig genopbygningsbistand samt komplementerende indsatser – samtidig med at den skal skabe rammen for fortsat mobilisering af private bidrag og fremme af privat-offentligt samarbejde. </w:t>
      </w:r>
      <w:r w:rsidR="00327EDD">
        <w:t xml:space="preserve">Det er målet, at </w:t>
      </w:r>
      <w:r>
        <w:t>Strateginoten</w:t>
      </w:r>
      <w:r w:rsidR="003E2CA5">
        <w:t xml:space="preserve"> </w:t>
      </w:r>
      <w:r w:rsidR="00327EDD">
        <w:t xml:space="preserve">således vil bidrage til at </w:t>
      </w:r>
      <w:r w:rsidR="003E2CA5">
        <w:t>skabe synergi med andre offentlige og private tiltag</w:t>
      </w:r>
      <w:r w:rsidR="00327EDD">
        <w:t>.</w:t>
      </w:r>
      <w:r w:rsidR="003E2CA5">
        <w:t xml:space="preserve"> </w:t>
      </w:r>
    </w:p>
    <w:p w:rsidR="009F0FBF" w:rsidRDefault="009F0FBF" w:rsidP="009F0FBF">
      <w:pPr>
        <w:spacing w:after="0"/>
        <w:jc w:val="both"/>
      </w:pPr>
    </w:p>
    <w:p w:rsidR="009F0FBF" w:rsidRDefault="009F0FBF" w:rsidP="009F0FBF">
      <w:pPr>
        <w:spacing w:after="0"/>
        <w:jc w:val="both"/>
      </w:pPr>
      <w:r>
        <w:t xml:space="preserve">Der er endnu ikke sat beløb på størrelsen af den danske genopbygningsindsats i 2024, men støtten vil blive udmøntet i henhold til de overordnede mål og principper i Strateginoten, herunder målet om, at Danmark kan levere på specifikke behov baseret på den aktuelle </w:t>
      </w:r>
      <w:r w:rsidR="002152DE">
        <w:t xml:space="preserve">og løbende </w:t>
      </w:r>
      <w:r>
        <w:t xml:space="preserve">udvikling.  </w:t>
      </w:r>
    </w:p>
    <w:p w:rsidR="009F0FBF" w:rsidRDefault="009F0FBF" w:rsidP="00395042">
      <w:pPr>
        <w:spacing w:after="0"/>
        <w:jc w:val="both"/>
      </w:pPr>
    </w:p>
    <w:p w:rsidR="003E2CA5" w:rsidRDefault="003E2CA5" w:rsidP="00395042">
      <w:pPr>
        <w:pStyle w:val="Listeafsnit"/>
        <w:spacing w:after="0"/>
        <w:jc w:val="both"/>
      </w:pPr>
    </w:p>
    <w:p w:rsidR="003E2CA5" w:rsidRDefault="003E2CA5" w:rsidP="00395042">
      <w:pPr>
        <w:pStyle w:val="Overskrift1"/>
        <w:numPr>
          <w:ilvl w:val="0"/>
          <w:numId w:val="25"/>
        </w:numPr>
        <w:jc w:val="both"/>
      </w:pPr>
      <w:bookmarkStart w:id="6" w:name="_Toc133169463"/>
      <w:r>
        <w:t>Situationen i Ukraine – behov for tidlig genopbygning</w:t>
      </w:r>
      <w:bookmarkEnd w:id="6"/>
      <w:r>
        <w:t xml:space="preserve"> </w:t>
      </w:r>
    </w:p>
    <w:p w:rsidR="003E2CA5" w:rsidRDefault="003E2CA5" w:rsidP="00395042">
      <w:pPr>
        <w:spacing w:after="0"/>
        <w:jc w:val="both"/>
      </w:pPr>
      <w:r>
        <w:t>De russiske angreb har medført omfattende ødelæggelser af bygninger, infrastruktur og erhvervs-</w:t>
      </w:r>
      <w:r w:rsidR="001B1063">
        <w:t xml:space="preserve"> </w:t>
      </w:r>
      <w:r>
        <w:t>og produktionsområder. I den nylige rapport ’Ukraine -</w:t>
      </w:r>
      <w:r>
        <w:rPr>
          <w:rFonts w:cs="Arial"/>
          <w:bCs/>
          <w:color w:val="000000"/>
        </w:rPr>
        <w:t xml:space="preserve"> Rapid Damage and Needs Assessment’</w:t>
      </w:r>
      <w:r>
        <w:rPr>
          <w:rStyle w:val="Fodnotehenvisning"/>
          <w:rFonts w:cs="Arial"/>
          <w:bCs/>
          <w:color w:val="000000"/>
        </w:rPr>
        <w:footnoteReference w:id="1"/>
      </w:r>
      <w:r>
        <w:rPr>
          <w:rFonts w:cs="Arial"/>
          <w:bCs/>
          <w:color w:val="000000"/>
        </w:rPr>
        <w:t xml:space="preserve"> fra marts 2023, opgøres de foreløbige ø</w:t>
      </w:r>
      <w:r>
        <w:t xml:space="preserve">delæggelser til 2.872,5 mia. kr. Et tal, der forventes at stige. Behovet for </w:t>
      </w:r>
      <w:r w:rsidR="00A10ECA">
        <w:t xml:space="preserve">akut </w:t>
      </w:r>
      <w:r>
        <w:t xml:space="preserve">støtte i 2023 </w:t>
      </w:r>
      <w:r w:rsidR="000E3F11">
        <w:t xml:space="preserve">alene </w:t>
      </w:r>
      <w:r>
        <w:t>opgøres til</w:t>
      </w:r>
      <w:r w:rsidR="00A10ECA">
        <w:t xml:space="preserve"> ca. 94 milliarder kroner</w:t>
      </w:r>
      <w:r>
        <w:t xml:space="preserve">. Rapporten forsøger at opgøre ødelæggelserne og </w:t>
      </w:r>
      <w:r w:rsidR="000E3F11">
        <w:t>dermed genopbygnings</w:t>
      </w:r>
      <w:r>
        <w:t>behov i alle Ukraines regioner (oblaster), og særligt i de s</w:t>
      </w:r>
      <w:r w:rsidR="001B1063">
        <w:t>eks</w:t>
      </w:r>
      <w:r>
        <w:t xml:space="preserve"> ’frontlinje regioner’, hvortil Mykolaiv hører, er behovene omfattende.</w:t>
      </w:r>
    </w:p>
    <w:p w:rsidR="003E2CA5" w:rsidRDefault="003E2CA5" w:rsidP="00395042">
      <w:pPr>
        <w:spacing w:after="0"/>
        <w:jc w:val="both"/>
      </w:pPr>
    </w:p>
    <w:p w:rsidR="003E2CA5" w:rsidRDefault="005D657A" w:rsidP="00395042">
      <w:pPr>
        <w:pStyle w:val="Overskrift2"/>
      </w:pPr>
      <w:bookmarkStart w:id="7" w:name="_Toc133169464"/>
      <w:r>
        <w:t xml:space="preserve">2.1 </w:t>
      </w:r>
      <w:r w:rsidR="003E2CA5">
        <w:t>Nationale prioriteter</w:t>
      </w:r>
      <w:bookmarkEnd w:id="7"/>
    </w:p>
    <w:p w:rsidR="003E2CA5" w:rsidRDefault="003E2CA5" w:rsidP="00395042">
      <w:pPr>
        <w:spacing w:after="0"/>
        <w:jc w:val="both"/>
      </w:pPr>
      <w:r>
        <w:t>På baggrund af de dokumenterede ødelæggelser og med afsæt i den ukrainske regerings strategiske prioriteter og landets implementeringskapacitet</w:t>
      </w:r>
      <w:r w:rsidR="00A0700F">
        <w:t>,</w:t>
      </w:r>
      <w:r>
        <w:t xml:space="preserve"> peger rapporten på de fem væsentligste sektorprioriteter for genopbygningsindsatsen i 2023:</w:t>
      </w:r>
    </w:p>
    <w:p w:rsidR="003E2CA5" w:rsidRDefault="003E2CA5" w:rsidP="00395042">
      <w:pPr>
        <w:spacing w:after="0"/>
        <w:jc w:val="both"/>
      </w:pPr>
    </w:p>
    <w:p w:rsidR="003E2CA5" w:rsidRDefault="003E2CA5" w:rsidP="00395042">
      <w:pPr>
        <w:spacing w:after="0"/>
        <w:jc w:val="both"/>
      </w:pPr>
      <w:r w:rsidRPr="002D0E10">
        <w:rPr>
          <w:i/>
          <w:u w:val="single"/>
        </w:rPr>
        <w:lastRenderedPageBreak/>
        <w:t>Kritisk og social infrastruktur</w:t>
      </w:r>
      <w:r>
        <w:t xml:space="preserve"> (42,8 mia. DKK</w:t>
      </w:r>
      <w:r w:rsidR="00E20C09">
        <w:t>)</w:t>
      </w:r>
      <w:r>
        <w:t xml:space="preserve">: Vil omfatte basal støtte til sårbare borgere, genopbygning af veje, jernbaner, broer og havne samt reparation og genopbygning af skoler, hospitaler og andre sociale og administrative faciliteter. </w:t>
      </w:r>
    </w:p>
    <w:p w:rsidR="003E2CA5" w:rsidRDefault="003E2CA5" w:rsidP="00395042">
      <w:pPr>
        <w:spacing w:after="0"/>
        <w:jc w:val="both"/>
      </w:pPr>
    </w:p>
    <w:p w:rsidR="003E2CA5" w:rsidRDefault="003E2CA5" w:rsidP="00395042">
      <w:pPr>
        <w:spacing w:after="0"/>
        <w:jc w:val="both"/>
      </w:pPr>
      <w:r w:rsidRPr="002D0E10">
        <w:rPr>
          <w:i/>
          <w:u w:val="single"/>
        </w:rPr>
        <w:t>Energiinfrastruktur</w:t>
      </w:r>
      <w:r>
        <w:t xml:space="preserve"> (24,8 mia. DKK): Vil omfatte reparation af transmissions- og distributionslinjer (gas og el) i Ukraines energiinfrastruktur. Herudover omfatter det decentralisering af energiproduktion – både hvad angår vedvarende energi og beskyttelse af el-nettet. </w:t>
      </w:r>
      <w:r w:rsidRPr="00711F81">
        <w:t>Fra krigens start har de russiske angreb også ramt Ukraines energiinfrastruktur, men siden oktober 2023 har intensiverede og målrettede angreb forårsaget betydelig</w:t>
      </w:r>
      <w:r w:rsidR="00367CFE">
        <w:t>e</w:t>
      </w:r>
      <w:r w:rsidRPr="00711F81">
        <w:t xml:space="preserve"> skader og ødelæggelser af energiforsyningen og påvirket </w:t>
      </w:r>
      <w:r w:rsidR="000E3CC1">
        <w:t xml:space="preserve">forsyningen i </w:t>
      </w:r>
      <w:r w:rsidRPr="00711F81">
        <w:t>alle dele af landet.</w:t>
      </w:r>
      <w:r>
        <w:t xml:space="preserve">    </w:t>
      </w:r>
    </w:p>
    <w:p w:rsidR="003E2CA5" w:rsidRDefault="003E2CA5" w:rsidP="00395042">
      <w:pPr>
        <w:spacing w:after="0"/>
        <w:jc w:val="both"/>
      </w:pPr>
    </w:p>
    <w:p w:rsidR="003E2CA5" w:rsidRDefault="003E2CA5" w:rsidP="00395042">
      <w:pPr>
        <w:spacing w:after="0"/>
        <w:jc w:val="both"/>
      </w:pPr>
      <w:r w:rsidRPr="00CF6D4F">
        <w:rPr>
          <w:i/>
          <w:u w:val="single"/>
        </w:rPr>
        <w:t>Boliger</w:t>
      </w:r>
      <w:r w:rsidRPr="00CF6D4F">
        <w:rPr>
          <w:u w:val="single"/>
        </w:rPr>
        <w:t xml:space="preserve"> </w:t>
      </w:r>
      <w:r>
        <w:t xml:space="preserve">(14,3 mia. DKK): </w:t>
      </w:r>
      <w:r w:rsidR="000E3F11">
        <w:t>V</w:t>
      </w:r>
      <w:r>
        <w:t>il omfatte både akutte mindre reparationer samt større genopbygningsarbejde.</w:t>
      </w:r>
    </w:p>
    <w:p w:rsidR="003E2CA5" w:rsidRDefault="003E2CA5" w:rsidP="00395042">
      <w:pPr>
        <w:spacing w:after="0"/>
        <w:jc w:val="both"/>
      </w:pPr>
    </w:p>
    <w:p w:rsidR="003E2CA5" w:rsidRDefault="003E2CA5" w:rsidP="00395042">
      <w:pPr>
        <w:spacing w:after="0"/>
        <w:jc w:val="both"/>
      </w:pPr>
      <w:r w:rsidRPr="002D0E10">
        <w:rPr>
          <w:i/>
          <w:u w:val="single"/>
        </w:rPr>
        <w:t>Privatsektor</w:t>
      </w:r>
      <w:r>
        <w:rPr>
          <w:b/>
        </w:rPr>
        <w:t xml:space="preserve"> </w:t>
      </w:r>
      <w:r>
        <w:t>(20,3 mia. DKK): Vil omfatte støtteordninger, kreditprogrammer og risikofaciliteter med henblik på at støtte små og mellemstore virksomheder og landbrugssektoren.</w:t>
      </w:r>
    </w:p>
    <w:p w:rsidR="003E2CA5" w:rsidRDefault="003E2CA5" w:rsidP="00395042">
      <w:pPr>
        <w:spacing w:after="0"/>
        <w:jc w:val="both"/>
      </w:pPr>
    </w:p>
    <w:p w:rsidR="003E2CA5" w:rsidRDefault="003E2CA5" w:rsidP="00395042">
      <w:pPr>
        <w:spacing w:after="0"/>
        <w:jc w:val="both"/>
      </w:pPr>
      <w:r w:rsidRPr="005D38FE">
        <w:rPr>
          <w:i/>
          <w:u w:val="single"/>
        </w:rPr>
        <w:t xml:space="preserve">Minerydning </w:t>
      </w:r>
      <w:r>
        <w:t>(3,8 mia. DKK): Vil omfatte opbygning af Ukraines egen kapacitet til at planlægge og udføre minerydningsoperationer.</w:t>
      </w:r>
    </w:p>
    <w:p w:rsidR="005D657A" w:rsidRDefault="005D657A" w:rsidP="00395042">
      <w:pPr>
        <w:spacing w:after="0"/>
        <w:jc w:val="both"/>
      </w:pPr>
    </w:p>
    <w:p w:rsidR="003E2CA5" w:rsidRDefault="00045D23" w:rsidP="00395042">
      <w:pPr>
        <w:pStyle w:val="Overskrift2"/>
      </w:pPr>
      <w:bookmarkStart w:id="8" w:name="_Toc133169465"/>
      <w:r>
        <w:t>2.2</w:t>
      </w:r>
      <w:r w:rsidR="005D657A">
        <w:t xml:space="preserve"> </w:t>
      </w:r>
      <w:r w:rsidR="003E2CA5">
        <w:t>Mykolaiv</w:t>
      </w:r>
      <w:r>
        <w:t xml:space="preserve"> – ødelæggelse</w:t>
      </w:r>
      <w:r w:rsidR="00A10ECA">
        <w:t>r</w:t>
      </w:r>
      <w:r>
        <w:t xml:space="preserve"> og behov</w:t>
      </w:r>
      <w:r w:rsidR="00005A8E">
        <w:rPr>
          <w:rStyle w:val="Fodnotehenvisning"/>
        </w:rPr>
        <w:footnoteReference w:id="2"/>
      </w:r>
      <w:bookmarkEnd w:id="8"/>
    </w:p>
    <w:p w:rsidR="002152DE" w:rsidRDefault="002152DE" w:rsidP="002152DE">
      <w:pPr>
        <w:jc w:val="both"/>
      </w:pPr>
      <w:r>
        <w:t>Mykolaiv by er en strategisk vigtig og økonomisk centralt placeret hovedby i det sydlige af Ukraine, der blev indtaget af russiske styrker i krigens første dage. I starten af april 2022 generobrede den ukrainske hær byen og de omkringliggende områder. I alle byens distrikter og i oplandet er der beskadigede eller ødel</w:t>
      </w:r>
      <w:r w:rsidR="00CD6DE7">
        <w:t>agte bygninger og infrastruktur og Mykolaiv er blandt de regioner i Ukraine, der er hårdest ramt af ødelæggelser.</w:t>
      </w:r>
    </w:p>
    <w:p w:rsidR="002152DE" w:rsidRDefault="002152DE" w:rsidP="002152DE">
      <w:pPr>
        <w:jc w:val="both"/>
      </w:pPr>
      <w:r>
        <w:t xml:space="preserve">I Verdensbankens vurdering af genopbygningsbehov </w:t>
      </w:r>
      <w:r w:rsidR="00CD6DE7">
        <w:t xml:space="preserve">vurderes det, at genopbygning i </w:t>
      </w:r>
      <w:r w:rsidRPr="00F9083A">
        <w:t>Mykolaiv re</w:t>
      </w:r>
      <w:r>
        <w:t>gion vil kræve 13,7 mia. USD i perioden 2023-2033.</w:t>
      </w:r>
    </w:p>
    <w:p w:rsidR="002152DE" w:rsidRDefault="002152DE" w:rsidP="002152DE">
      <w:pPr>
        <w:jc w:val="both"/>
      </w:pPr>
      <w:r>
        <w:t xml:space="preserve">Før Ruslands invasion levede omring 470.000 mennesker i Mykolaiv by (og 1,1 millioner mennesker i alt i Mykolaiv region). Mange forlod byen efter krigens start og ifølge lokale myndigheder var der omkring 230.000 indbyggere tilbage i byen i november 2022. Med tilbageerobringen af Kherson by i naboregionen i december 2022 begyndte </w:t>
      </w:r>
      <w:r w:rsidR="00FD0662">
        <w:t xml:space="preserve">mange </w:t>
      </w:r>
      <w:r>
        <w:t>indbyggere at vende retur til Mykolaiv. Lokale myndigheder anslår, at omkring 100.000 er returneret til regionen, og af disse er over halvdelen returneret til byen Mykolaiv. I januar 2023 var der officielt registret 31.300 internt fordrevne i Mykolaiv by.</w:t>
      </w:r>
      <w:r>
        <w:rPr>
          <w:rStyle w:val="Fodnotehenvisning"/>
        </w:rPr>
        <w:footnoteReference w:id="3"/>
      </w:r>
    </w:p>
    <w:p w:rsidR="005D38FE" w:rsidRDefault="005D38FE" w:rsidP="00395042">
      <w:pPr>
        <w:pStyle w:val="NormalWeb"/>
        <w:numPr>
          <w:ilvl w:val="0"/>
          <w:numId w:val="35"/>
        </w:numPr>
        <w:spacing w:after="240" w:afterAutospacing="0" w:line="276" w:lineRule="auto"/>
        <w:jc w:val="both"/>
        <w:rPr>
          <w:rFonts w:ascii="Verdana" w:hAnsi="Verdana"/>
          <w:bCs/>
          <w:sz w:val="20"/>
          <w:szCs w:val="20"/>
        </w:rPr>
      </w:pPr>
      <w:r w:rsidRPr="00861D57">
        <w:rPr>
          <w:rFonts w:ascii="Verdana" w:hAnsi="Verdana"/>
          <w:bCs/>
          <w:sz w:val="20"/>
          <w:szCs w:val="20"/>
        </w:rPr>
        <w:t xml:space="preserve">Ødelæggelserne af Mykolaivs </w:t>
      </w:r>
      <w:r w:rsidRPr="00861D57">
        <w:rPr>
          <w:rFonts w:ascii="Verdana" w:hAnsi="Verdana"/>
          <w:bCs/>
          <w:sz w:val="20"/>
          <w:szCs w:val="20"/>
          <w:u w:val="single"/>
        </w:rPr>
        <w:t>sociale infrastruktur</w:t>
      </w:r>
      <w:r w:rsidRPr="00861D57">
        <w:rPr>
          <w:rFonts w:ascii="Verdana" w:hAnsi="Verdana"/>
          <w:bCs/>
          <w:sz w:val="20"/>
          <w:szCs w:val="20"/>
        </w:rPr>
        <w:t xml:space="preserve"> er omfattende. 47 sundhedsfaciliteter er beskadiget, det samme gælder 49 skoler og 34 børnehaver (per marts 2023). Der er behov for flere og bedre beskyttelsesrum, blandt andet på skoler og ved busstoppesteder, ligesom der mangler uddannet arbejdskraft, køretøjer, maskiner og udstyr til fuldt at varetage genopbygning. Offentlig transport er ramt af mangel på busser. </w:t>
      </w:r>
    </w:p>
    <w:p w:rsidR="005D38FE" w:rsidRDefault="005D38FE" w:rsidP="00395042">
      <w:pPr>
        <w:pStyle w:val="NormalWeb"/>
        <w:numPr>
          <w:ilvl w:val="0"/>
          <w:numId w:val="35"/>
        </w:numPr>
        <w:spacing w:before="0" w:beforeAutospacing="0" w:after="0" w:afterAutospacing="0" w:line="276" w:lineRule="auto"/>
        <w:jc w:val="both"/>
        <w:rPr>
          <w:rFonts w:ascii="Verdana" w:hAnsi="Verdana"/>
          <w:bCs/>
          <w:sz w:val="20"/>
          <w:szCs w:val="20"/>
        </w:rPr>
      </w:pPr>
      <w:r w:rsidRPr="00304A91">
        <w:rPr>
          <w:rFonts w:ascii="Verdana" w:hAnsi="Verdana"/>
          <w:bCs/>
          <w:sz w:val="20"/>
          <w:szCs w:val="20"/>
        </w:rPr>
        <w:lastRenderedPageBreak/>
        <w:t xml:space="preserve">I april 2022 blev Mykolaivs eneste </w:t>
      </w:r>
      <w:r w:rsidRPr="00304A91">
        <w:rPr>
          <w:rFonts w:ascii="Verdana" w:hAnsi="Verdana"/>
          <w:bCs/>
          <w:sz w:val="20"/>
          <w:szCs w:val="20"/>
          <w:u w:val="single"/>
        </w:rPr>
        <w:t>vandforsyning</w:t>
      </w:r>
      <w:r w:rsidRPr="00304A91">
        <w:rPr>
          <w:rFonts w:ascii="Verdana" w:hAnsi="Verdana"/>
          <w:bCs/>
          <w:sz w:val="20"/>
          <w:szCs w:val="20"/>
        </w:rPr>
        <w:t xml:space="preserve"> afskåret, da vandledningen fra naboregionen Kherson blev ødelagt af bombadement. Dette skabte en meget vanskelig humanitær situation, og vandforsyning er søgt klaret gennem import af drikkevand,</w:t>
      </w:r>
      <w:r>
        <w:rPr>
          <w:rFonts w:ascii="Verdana" w:hAnsi="Verdana"/>
          <w:bCs/>
          <w:sz w:val="20"/>
          <w:szCs w:val="20"/>
        </w:rPr>
        <w:t xml:space="preserve"> midlertidig</w:t>
      </w:r>
      <w:r w:rsidRPr="00304A91">
        <w:rPr>
          <w:rFonts w:ascii="Verdana" w:hAnsi="Verdana"/>
          <w:bCs/>
          <w:sz w:val="20"/>
          <w:szCs w:val="20"/>
        </w:rPr>
        <w:t xml:space="preserve"> anvendelse af flodvand, nye brøndboringer og </w:t>
      </w:r>
      <w:r w:rsidR="00861D57">
        <w:rPr>
          <w:rFonts w:ascii="Verdana" w:hAnsi="Verdana"/>
          <w:bCs/>
          <w:sz w:val="20"/>
          <w:szCs w:val="20"/>
        </w:rPr>
        <w:t xml:space="preserve">etablering af små decentrale </w:t>
      </w:r>
      <w:r w:rsidRPr="00304A91">
        <w:rPr>
          <w:rFonts w:ascii="Verdana" w:hAnsi="Verdana"/>
          <w:bCs/>
          <w:sz w:val="20"/>
          <w:szCs w:val="20"/>
        </w:rPr>
        <w:t>afsaltning</w:t>
      </w:r>
      <w:r w:rsidR="00861D57">
        <w:rPr>
          <w:rFonts w:ascii="Verdana" w:hAnsi="Verdana"/>
          <w:bCs/>
          <w:sz w:val="20"/>
          <w:szCs w:val="20"/>
        </w:rPr>
        <w:t>sanlæg.</w:t>
      </w:r>
      <w:r>
        <w:rPr>
          <w:rFonts w:ascii="Verdana" w:hAnsi="Verdana"/>
          <w:bCs/>
          <w:sz w:val="20"/>
          <w:szCs w:val="20"/>
        </w:rPr>
        <w:t xml:space="preserve"> </w:t>
      </w:r>
      <w:r w:rsidR="00861D57">
        <w:rPr>
          <w:rFonts w:ascii="Verdana" w:hAnsi="Verdana"/>
          <w:bCs/>
          <w:sz w:val="20"/>
          <w:szCs w:val="20"/>
        </w:rPr>
        <w:t>Der forestår en stor opgave med genetablering af rør og pumper samt udskiftning af rør tæret af det saltholdige vand.</w:t>
      </w:r>
    </w:p>
    <w:p w:rsidR="005D38FE" w:rsidRDefault="005D38FE" w:rsidP="00395042">
      <w:pPr>
        <w:pStyle w:val="NormalWeb"/>
        <w:numPr>
          <w:ilvl w:val="0"/>
          <w:numId w:val="35"/>
        </w:numPr>
        <w:spacing w:before="240" w:beforeAutospacing="0" w:after="240" w:afterAutospacing="0" w:line="276" w:lineRule="auto"/>
        <w:jc w:val="both"/>
        <w:rPr>
          <w:rFonts w:ascii="Verdana" w:hAnsi="Verdana"/>
          <w:bCs/>
          <w:sz w:val="20"/>
          <w:szCs w:val="20"/>
        </w:rPr>
      </w:pPr>
      <w:r>
        <w:rPr>
          <w:rFonts w:ascii="Verdana" w:hAnsi="Verdana"/>
          <w:bCs/>
          <w:sz w:val="20"/>
          <w:szCs w:val="20"/>
        </w:rPr>
        <w:t>Mykolaiv</w:t>
      </w:r>
      <w:r w:rsidR="000E3F11">
        <w:rPr>
          <w:rFonts w:ascii="Verdana" w:hAnsi="Verdana"/>
          <w:bCs/>
          <w:sz w:val="20"/>
          <w:szCs w:val="20"/>
        </w:rPr>
        <w:t>s</w:t>
      </w:r>
      <w:r>
        <w:rPr>
          <w:rFonts w:ascii="Verdana" w:hAnsi="Verdana"/>
          <w:bCs/>
          <w:sz w:val="20"/>
          <w:szCs w:val="20"/>
        </w:rPr>
        <w:t xml:space="preserve"> forsyning af </w:t>
      </w:r>
      <w:r w:rsidRPr="00C37D8B">
        <w:rPr>
          <w:rFonts w:ascii="Verdana" w:hAnsi="Verdana"/>
          <w:bCs/>
          <w:sz w:val="20"/>
          <w:szCs w:val="20"/>
          <w:u w:val="single"/>
        </w:rPr>
        <w:t>varme og el</w:t>
      </w:r>
      <w:r>
        <w:rPr>
          <w:rFonts w:ascii="Verdana" w:hAnsi="Verdana"/>
          <w:bCs/>
          <w:sz w:val="20"/>
          <w:szCs w:val="20"/>
        </w:rPr>
        <w:t xml:space="preserve"> er blevet kraftigt beskadiget af russisk</w:t>
      </w:r>
      <w:r w:rsidR="00900AC5">
        <w:rPr>
          <w:rFonts w:ascii="Verdana" w:hAnsi="Verdana"/>
          <w:bCs/>
          <w:sz w:val="20"/>
          <w:szCs w:val="20"/>
        </w:rPr>
        <w:t>e</w:t>
      </w:r>
      <w:r>
        <w:rPr>
          <w:rFonts w:ascii="Verdana" w:hAnsi="Verdana"/>
          <w:bCs/>
          <w:sz w:val="20"/>
          <w:szCs w:val="20"/>
        </w:rPr>
        <w:t xml:space="preserve"> ødelæggelser. </w:t>
      </w:r>
      <w:r w:rsidRPr="00861D57">
        <w:rPr>
          <w:rFonts w:ascii="Verdana" w:hAnsi="Verdana"/>
          <w:bCs/>
          <w:sz w:val="20"/>
          <w:szCs w:val="20"/>
        </w:rPr>
        <w:t>Den næsten totale ødelæggelse af kraftværket i naboregionen Kherson, som også leverede det meste elektricitet til Mykolaiv region</w:t>
      </w:r>
      <w:r w:rsidR="00CD6DE7">
        <w:rPr>
          <w:rFonts w:ascii="Verdana" w:hAnsi="Verdana"/>
          <w:bCs/>
          <w:sz w:val="20"/>
          <w:szCs w:val="20"/>
        </w:rPr>
        <w:t>,</w:t>
      </w:r>
      <w:r w:rsidRPr="00861D57">
        <w:rPr>
          <w:rFonts w:ascii="Verdana" w:hAnsi="Verdana"/>
          <w:bCs/>
          <w:sz w:val="20"/>
          <w:szCs w:val="20"/>
        </w:rPr>
        <w:t xml:space="preserve"> har haft stor betydning.</w:t>
      </w:r>
      <w:r>
        <w:rPr>
          <w:rFonts w:ascii="Verdana" w:hAnsi="Verdana"/>
          <w:bCs/>
          <w:sz w:val="20"/>
          <w:szCs w:val="20"/>
        </w:rPr>
        <w:t xml:space="preserve"> Det er behov for generatorer, </w:t>
      </w:r>
      <w:r w:rsidR="00B1605D">
        <w:rPr>
          <w:rFonts w:ascii="Verdana" w:hAnsi="Verdana"/>
          <w:bCs/>
          <w:sz w:val="20"/>
          <w:szCs w:val="20"/>
        </w:rPr>
        <w:t>varme</w:t>
      </w:r>
      <w:r>
        <w:rPr>
          <w:rFonts w:ascii="Verdana" w:hAnsi="Verdana"/>
          <w:bCs/>
          <w:sz w:val="20"/>
          <w:szCs w:val="20"/>
        </w:rPr>
        <w:t xml:space="preserve">kedler, reservedele, pumper, specialudstyr-og køretøjer til at udføre nødreparation samt teknisk rådgivning til udvikling af en ny plan for byens produktion og distribution af varme. </w:t>
      </w:r>
    </w:p>
    <w:p w:rsidR="005D38FE" w:rsidRDefault="005D38FE" w:rsidP="00395042">
      <w:pPr>
        <w:pStyle w:val="NormalWeb"/>
        <w:numPr>
          <w:ilvl w:val="0"/>
          <w:numId w:val="35"/>
        </w:numPr>
        <w:spacing w:before="0" w:beforeAutospacing="0" w:after="240" w:afterAutospacing="0" w:line="276" w:lineRule="auto"/>
        <w:jc w:val="both"/>
        <w:rPr>
          <w:rFonts w:ascii="Verdana" w:hAnsi="Verdana"/>
          <w:bCs/>
          <w:sz w:val="20"/>
          <w:szCs w:val="20"/>
        </w:rPr>
      </w:pPr>
      <w:r>
        <w:rPr>
          <w:rFonts w:ascii="Verdana" w:hAnsi="Verdana"/>
          <w:bCs/>
          <w:sz w:val="20"/>
          <w:szCs w:val="20"/>
        </w:rPr>
        <w:t xml:space="preserve">Mykolaivs </w:t>
      </w:r>
      <w:r w:rsidRPr="00FA312A">
        <w:rPr>
          <w:rFonts w:ascii="Verdana" w:hAnsi="Verdana"/>
          <w:bCs/>
          <w:sz w:val="20"/>
          <w:szCs w:val="20"/>
          <w:u w:val="single"/>
        </w:rPr>
        <w:t>landbrugssektor</w:t>
      </w:r>
      <w:r>
        <w:rPr>
          <w:rFonts w:ascii="Verdana" w:hAnsi="Verdana"/>
          <w:bCs/>
          <w:sz w:val="20"/>
          <w:szCs w:val="20"/>
        </w:rPr>
        <w:t xml:space="preserve"> er ramt af krigen på forskellig vis. Det vurderes, at 17 pct. af regionens dyrkningsarealer fortsat er minerede og dermed ikke mulige at tilgå. Mange faciliteter til produktion, forarbejdning, opbevaring og eksportlogistik er beskadiget eller ødelagt af krigshandlinger. </w:t>
      </w:r>
    </w:p>
    <w:p w:rsidR="005D38FE" w:rsidRDefault="00533C1A" w:rsidP="00644D84">
      <w:pPr>
        <w:pStyle w:val="NormalWeb"/>
        <w:spacing w:before="0" w:beforeAutospacing="0" w:after="0" w:afterAutospacing="0" w:line="276" w:lineRule="auto"/>
        <w:jc w:val="both"/>
        <w:rPr>
          <w:rFonts w:ascii="Verdana" w:hAnsi="Verdana"/>
          <w:bCs/>
          <w:sz w:val="20"/>
          <w:szCs w:val="20"/>
        </w:rPr>
      </w:pPr>
      <w:r>
        <w:rPr>
          <w:rFonts w:ascii="Verdana" w:hAnsi="Verdana"/>
          <w:bCs/>
          <w:sz w:val="20"/>
          <w:szCs w:val="20"/>
        </w:rPr>
        <w:t>En tidlig genopbygningsindsats, med g</w:t>
      </w:r>
      <w:r w:rsidR="00015AEC">
        <w:rPr>
          <w:rFonts w:ascii="Verdana" w:hAnsi="Verdana"/>
          <w:bCs/>
          <w:sz w:val="20"/>
          <w:szCs w:val="20"/>
        </w:rPr>
        <w:t xml:space="preserve">enopretning af basale funktioner </w:t>
      </w:r>
      <w:r>
        <w:rPr>
          <w:rFonts w:ascii="Verdana" w:hAnsi="Verdana"/>
          <w:bCs/>
          <w:sz w:val="20"/>
          <w:szCs w:val="20"/>
        </w:rPr>
        <w:t xml:space="preserve">som el-, vand- og varmeforsyning samt skoler, børnehaver og hospitaler, </w:t>
      </w:r>
      <w:r w:rsidR="00015AEC">
        <w:rPr>
          <w:rFonts w:ascii="Verdana" w:hAnsi="Verdana"/>
          <w:bCs/>
          <w:sz w:val="20"/>
          <w:szCs w:val="20"/>
        </w:rPr>
        <w:t>er afgørende for, at tilværelsen for indbyggerne ”normaliseres”, og dermed muliggør og tilskynder</w:t>
      </w:r>
      <w:r w:rsidR="00FD0662">
        <w:rPr>
          <w:rFonts w:ascii="Verdana" w:hAnsi="Verdana"/>
          <w:bCs/>
          <w:sz w:val="20"/>
          <w:szCs w:val="20"/>
        </w:rPr>
        <w:t>,</w:t>
      </w:r>
      <w:r w:rsidR="00015AEC">
        <w:rPr>
          <w:rFonts w:ascii="Verdana" w:hAnsi="Verdana"/>
          <w:bCs/>
          <w:sz w:val="20"/>
          <w:szCs w:val="20"/>
        </w:rPr>
        <w:t xml:space="preserve"> </w:t>
      </w:r>
      <w:r w:rsidR="00FD0662">
        <w:rPr>
          <w:rFonts w:ascii="Verdana" w:hAnsi="Verdana"/>
          <w:bCs/>
          <w:sz w:val="20"/>
          <w:szCs w:val="20"/>
        </w:rPr>
        <w:t xml:space="preserve">at </w:t>
      </w:r>
      <w:r w:rsidR="00015AEC">
        <w:rPr>
          <w:rFonts w:ascii="Verdana" w:hAnsi="Verdana"/>
          <w:bCs/>
          <w:sz w:val="20"/>
          <w:szCs w:val="20"/>
        </w:rPr>
        <w:t xml:space="preserve">fordrevne </w:t>
      </w:r>
      <w:r w:rsidR="00FD0662">
        <w:rPr>
          <w:rFonts w:ascii="Verdana" w:hAnsi="Verdana"/>
          <w:bCs/>
          <w:sz w:val="20"/>
          <w:szCs w:val="20"/>
        </w:rPr>
        <w:t xml:space="preserve">kan </w:t>
      </w:r>
      <w:r w:rsidR="00015AEC">
        <w:rPr>
          <w:rFonts w:ascii="Verdana" w:hAnsi="Verdana"/>
          <w:bCs/>
          <w:sz w:val="20"/>
          <w:szCs w:val="20"/>
        </w:rPr>
        <w:t xml:space="preserve">vende tilbage.  For at forberede den langsigtede genopbygning, er </w:t>
      </w:r>
      <w:r w:rsidR="008329A1">
        <w:rPr>
          <w:rFonts w:ascii="Verdana" w:hAnsi="Verdana"/>
          <w:bCs/>
          <w:sz w:val="20"/>
          <w:szCs w:val="20"/>
        </w:rPr>
        <w:t xml:space="preserve">Mykolaiv by </w:t>
      </w:r>
      <w:r>
        <w:rPr>
          <w:rFonts w:ascii="Verdana" w:hAnsi="Verdana"/>
          <w:bCs/>
          <w:sz w:val="20"/>
          <w:szCs w:val="20"/>
        </w:rPr>
        <w:t xml:space="preserve">samtidig </w:t>
      </w:r>
      <w:r w:rsidR="00015AEC">
        <w:rPr>
          <w:rFonts w:ascii="Verdana" w:hAnsi="Verdana"/>
          <w:bCs/>
          <w:sz w:val="20"/>
          <w:szCs w:val="20"/>
        </w:rPr>
        <w:t xml:space="preserve">påbegyndt arbejdet med </w:t>
      </w:r>
      <w:r w:rsidR="008329A1">
        <w:rPr>
          <w:rFonts w:ascii="Verdana" w:hAnsi="Verdana"/>
          <w:bCs/>
          <w:sz w:val="20"/>
          <w:szCs w:val="20"/>
        </w:rPr>
        <w:t xml:space="preserve">at udarbejde en </w:t>
      </w:r>
      <w:r w:rsidR="00861D57" w:rsidRPr="00644D84">
        <w:rPr>
          <w:rFonts w:ascii="Verdana" w:hAnsi="Verdana"/>
          <w:bCs/>
          <w:sz w:val="20"/>
          <w:szCs w:val="20"/>
        </w:rPr>
        <w:t>Masterplan</w:t>
      </w:r>
      <w:r w:rsidR="005D38FE" w:rsidRPr="00644D84">
        <w:rPr>
          <w:rFonts w:ascii="Verdana" w:hAnsi="Verdana"/>
          <w:bCs/>
          <w:sz w:val="20"/>
          <w:szCs w:val="20"/>
        </w:rPr>
        <w:t xml:space="preserve"> for byens samlede genopbygning</w:t>
      </w:r>
      <w:r w:rsidR="008329A1">
        <w:rPr>
          <w:rFonts w:ascii="Verdana" w:hAnsi="Verdana"/>
          <w:bCs/>
          <w:sz w:val="20"/>
          <w:szCs w:val="20"/>
          <w:u w:val="single"/>
        </w:rPr>
        <w:t xml:space="preserve"> </w:t>
      </w:r>
      <w:r w:rsidR="008329A1" w:rsidRPr="008329A1">
        <w:rPr>
          <w:rFonts w:ascii="Verdana" w:hAnsi="Verdana"/>
          <w:bCs/>
          <w:sz w:val="20"/>
          <w:szCs w:val="20"/>
        </w:rPr>
        <w:t xml:space="preserve">med henblik på, at byen </w:t>
      </w:r>
      <w:r w:rsidR="008329A1">
        <w:rPr>
          <w:rFonts w:ascii="Verdana" w:hAnsi="Verdana"/>
          <w:bCs/>
          <w:sz w:val="20"/>
          <w:szCs w:val="20"/>
        </w:rPr>
        <w:t>genopbygges bedre og grønner</w:t>
      </w:r>
      <w:r w:rsidR="00E67FFE">
        <w:rPr>
          <w:rFonts w:ascii="Verdana" w:hAnsi="Verdana"/>
          <w:bCs/>
          <w:sz w:val="20"/>
          <w:szCs w:val="20"/>
        </w:rPr>
        <w:t>e</w:t>
      </w:r>
      <w:r w:rsidR="008329A1">
        <w:rPr>
          <w:rFonts w:ascii="Verdana" w:hAnsi="Verdana"/>
          <w:bCs/>
          <w:sz w:val="20"/>
          <w:szCs w:val="20"/>
        </w:rPr>
        <w:t>. Planen udarbejdes med støtte fra UNEC</w:t>
      </w:r>
      <w:r w:rsidR="00306694">
        <w:rPr>
          <w:rFonts w:ascii="Verdana" w:hAnsi="Verdana"/>
          <w:bCs/>
          <w:sz w:val="20"/>
          <w:szCs w:val="20"/>
        </w:rPr>
        <w:t>E</w:t>
      </w:r>
      <w:r w:rsidR="008329A1">
        <w:rPr>
          <w:rFonts w:ascii="Verdana" w:hAnsi="Verdana"/>
          <w:bCs/>
          <w:sz w:val="20"/>
          <w:szCs w:val="20"/>
        </w:rPr>
        <w:t xml:space="preserve"> og Danmark. Fra dansk side er COWI engageret til at støtte ukrainerne med Masterplanudvikling på områderne infrastruktur, energi og vandforsyning. </w:t>
      </w:r>
    </w:p>
    <w:p w:rsidR="00697DCD" w:rsidRDefault="00697DCD" w:rsidP="00395042">
      <w:pPr>
        <w:pStyle w:val="Overskrift2"/>
      </w:pPr>
    </w:p>
    <w:p w:rsidR="00045D23" w:rsidRDefault="00005A8E" w:rsidP="00395042">
      <w:pPr>
        <w:pStyle w:val="Overskrift2"/>
      </w:pPr>
      <w:bookmarkStart w:id="9" w:name="_Toc133169466"/>
      <w:r>
        <w:t>2.3 Ukrainsk</w:t>
      </w:r>
      <w:r w:rsidR="00045D23">
        <w:t xml:space="preserve"> anmodning om dansk støtte på energiområdet</w:t>
      </w:r>
      <w:bookmarkEnd w:id="9"/>
    </w:p>
    <w:p w:rsidR="00045D23" w:rsidRDefault="00D3509A" w:rsidP="00395042">
      <w:pPr>
        <w:pStyle w:val="NormalWeb"/>
        <w:spacing w:before="0" w:beforeAutospacing="0" w:after="0" w:afterAutospacing="0" w:line="276" w:lineRule="auto"/>
        <w:jc w:val="both"/>
        <w:rPr>
          <w:rFonts w:ascii="Verdana" w:hAnsi="Verdana"/>
          <w:bCs/>
          <w:sz w:val="20"/>
          <w:szCs w:val="20"/>
        </w:rPr>
      </w:pPr>
      <w:r>
        <w:rPr>
          <w:rFonts w:ascii="Verdana" w:hAnsi="Verdana"/>
          <w:bCs/>
          <w:sz w:val="20"/>
          <w:szCs w:val="20"/>
        </w:rPr>
        <w:t xml:space="preserve">I </w:t>
      </w:r>
      <w:r w:rsidR="00045D23">
        <w:rPr>
          <w:rFonts w:ascii="Verdana" w:hAnsi="Verdana"/>
          <w:bCs/>
          <w:sz w:val="20"/>
          <w:szCs w:val="20"/>
        </w:rPr>
        <w:t xml:space="preserve">2015 </w:t>
      </w:r>
      <w:r>
        <w:rPr>
          <w:rFonts w:ascii="Verdana" w:hAnsi="Verdana"/>
          <w:bCs/>
          <w:sz w:val="20"/>
          <w:szCs w:val="20"/>
        </w:rPr>
        <w:t xml:space="preserve">blev der etableret </w:t>
      </w:r>
      <w:r w:rsidR="00045D23">
        <w:rPr>
          <w:rFonts w:ascii="Verdana" w:hAnsi="Verdana"/>
          <w:bCs/>
          <w:sz w:val="20"/>
          <w:szCs w:val="20"/>
        </w:rPr>
        <w:t xml:space="preserve">et </w:t>
      </w:r>
      <w:r>
        <w:rPr>
          <w:rFonts w:ascii="Verdana" w:hAnsi="Verdana"/>
          <w:bCs/>
          <w:sz w:val="20"/>
          <w:szCs w:val="20"/>
        </w:rPr>
        <w:t xml:space="preserve">samarbejde mellem </w:t>
      </w:r>
      <w:r w:rsidR="00045D23">
        <w:rPr>
          <w:rFonts w:ascii="Verdana" w:hAnsi="Verdana"/>
          <w:bCs/>
          <w:sz w:val="20"/>
          <w:szCs w:val="20"/>
        </w:rPr>
        <w:t xml:space="preserve">Energistyrelsen i Danmark og Energiministeriet og andre aktører i Ukraine. </w:t>
      </w:r>
      <w:r>
        <w:rPr>
          <w:rFonts w:ascii="Verdana" w:hAnsi="Verdana"/>
          <w:bCs/>
          <w:sz w:val="20"/>
          <w:szCs w:val="20"/>
        </w:rPr>
        <w:t xml:space="preserve">I 2022 og </w:t>
      </w:r>
      <w:r w:rsidR="00045D23">
        <w:rPr>
          <w:rFonts w:ascii="Verdana" w:hAnsi="Verdana"/>
          <w:bCs/>
          <w:sz w:val="20"/>
          <w:szCs w:val="20"/>
        </w:rPr>
        <w:t xml:space="preserve">2023 har Ukraines energiminister </w:t>
      </w:r>
      <w:r w:rsidR="00306694">
        <w:rPr>
          <w:rFonts w:ascii="Verdana" w:hAnsi="Verdana"/>
          <w:bCs/>
          <w:sz w:val="20"/>
          <w:szCs w:val="20"/>
        </w:rPr>
        <w:t xml:space="preserve">anmodet </w:t>
      </w:r>
      <w:r>
        <w:rPr>
          <w:rFonts w:ascii="Verdana" w:hAnsi="Verdana"/>
          <w:bCs/>
          <w:sz w:val="20"/>
          <w:szCs w:val="20"/>
        </w:rPr>
        <w:t>Danmark om at bidrage til genopbyg</w:t>
      </w:r>
      <w:r w:rsidR="00306694">
        <w:rPr>
          <w:rFonts w:ascii="Verdana" w:hAnsi="Verdana"/>
          <w:bCs/>
          <w:sz w:val="20"/>
          <w:szCs w:val="20"/>
        </w:rPr>
        <w:t>ning af</w:t>
      </w:r>
      <w:r>
        <w:rPr>
          <w:rFonts w:ascii="Verdana" w:hAnsi="Verdana"/>
          <w:bCs/>
          <w:sz w:val="20"/>
          <w:szCs w:val="20"/>
        </w:rPr>
        <w:t xml:space="preserve"> ødelagt energiinfrastruktur samt rettet specifik henvendelse </w:t>
      </w:r>
      <w:r w:rsidR="00045D23">
        <w:rPr>
          <w:rFonts w:ascii="Verdana" w:hAnsi="Verdana"/>
          <w:bCs/>
          <w:sz w:val="20"/>
          <w:szCs w:val="20"/>
        </w:rPr>
        <w:t xml:space="preserve">om støtte </w:t>
      </w:r>
      <w:r w:rsidR="0052713A">
        <w:rPr>
          <w:rFonts w:ascii="Verdana" w:hAnsi="Verdana"/>
          <w:bCs/>
          <w:sz w:val="20"/>
          <w:szCs w:val="20"/>
        </w:rPr>
        <w:t xml:space="preserve">til </w:t>
      </w:r>
      <w:r>
        <w:rPr>
          <w:rFonts w:ascii="Verdana" w:hAnsi="Verdana"/>
          <w:bCs/>
          <w:sz w:val="20"/>
          <w:szCs w:val="20"/>
        </w:rPr>
        <w:t xml:space="preserve">grøn omstilling, herunder </w:t>
      </w:r>
      <w:r w:rsidR="00045D23">
        <w:rPr>
          <w:rFonts w:ascii="Verdana" w:hAnsi="Verdana"/>
          <w:bCs/>
          <w:sz w:val="20"/>
          <w:szCs w:val="20"/>
        </w:rPr>
        <w:t xml:space="preserve">genopbygning af ødelagt landvind </w:t>
      </w:r>
      <w:r w:rsidR="001F3C85">
        <w:rPr>
          <w:rFonts w:ascii="Verdana" w:hAnsi="Verdana"/>
          <w:bCs/>
          <w:sz w:val="20"/>
          <w:szCs w:val="20"/>
        </w:rPr>
        <w:t>(inklusiv</w:t>
      </w:r>
      <w:r w:rsidR="00045D23">
        <w:rPr>
          <w:rFonts w:ascii="Verdana" w:hAnsi="Verdana"/>
          <w:bCs/>
          <w:sz w:val="20"/>
          <w:szCs w:val="20"/>
        </w:rPr>
        <w:t xml:space="preserve"> opgradering af vindmøller</w:t>
      </w:r>
      <w:r w:rsidR="001F3C85">
        <w:rPr>
          <w:rFonts w:ascii="Verdana" w:hAnsi="Verdana"/>
          <w:bCs/>
          <w:sz w:val="20"/>
          <w:szCs w:val="20"/>
        </w:rPr>
        <w:t>) samt udvikling af havvind</w:t>
      </w:r>
      <w:r w:rsidR="00045D23">
        <w:rPr>
          <w:rFonts w:ascii="Verdana" w:hAnsi="Verdana"/>
          <w:bCs/>
          <w:sz w:val="20"/>
          <w:szCs w:val="20"/>
        </w:rPr>
        <w:t>. Ukraine har ligeledes anmodet Danmark om støtte til udvikling af en konkret plan for udnyttelse af biomasse til energi- og varmeproduktion, ligesom man ønsker samarbejde om sikring af mere energieffektiv industri som del af den forestående genopbygning</w:t>
      </w:r>
      <w:r w:rsidR="00AE47C0">
        <w:rPr>
          <w:rFonts w:ascii="Verdana" w:hAnsi="Verdana"/>
          <w:bCs/>
          <w:sz w:val="20"/>
          <w:szCs w:val="20"/>
        </w:rPr>
        <w:t xml:space="preserve">. Fra regionale myndigheder, </w:t>
      </w:r>
      <w:r w:rsidR="001F3C85">
        <w:rPr>
          <w:rFonts w:ascii="Verdana" w:hAnsi="Verdana"/>
          <w:bCs/>
          <w:sz w:val="20"/>
          <w:szCs w:val="20"/>
        </w:rPr>
        <w:t xml:space="preserve">har </w:t>
      </w:r>
      <w:r w:rsidR="00AE47C0">
        <w:rPr>
          <w:rFonts w:ascii="Verdana" w:hAnsi="Verdana"/>
          <w:bCs/>
          <w:sz w:val="20"/>
          <w:szCs w:val="20"/>
        </w:rPr>
        <w:t xml:space="preserve">der </w:t>
      </w:r>
      <w:r w:rsidR="001F3C85">
        <w:rPr>
          <w:rFonts w:ascii="Verdana" w:hAnsi="Verdana"/>
          <w:bCs/>
          <w:sz w:val="20"/>
          <w:szCs w:val="20"/>
        </w:rPr>
        <w:t xml:space="preserve">været anmodning om støtte til </w:t>
      </w:r>
      <w:r w:rsidR="00AE47C0">
        <w:rPr>
          <w:rFonts w:ascii="Verdana" w:hAnsi="Verdana"/>
          <w:bCs/>
          <w:sz w:val="20"/>
          <w:szCs w:val="20"/>
        </w:rPr>
        <w:t>forbedring</w:t>
      </w:r>
      <w:r w:rsidR="001F3C85">
        <w:rPr>
          <w:rFonts w:ascii="Verdana" w:hAnsi="Verdana"/>
          <w:bCs/>
          <w:sz w:val="20"/>
          <w:szCs w:val="20"/>
        </w:rPr>
        <w:t xml:space="preserve"> og effektivisering af </w:t>
      </w:r>
      <w:r w:rsidR="00045D23">
        <w:rPr>
          <w:rFonts w:ascii="Verdana" w:hAnsi="Verdana"/>
          <w:bCs/>
          <w:sz w:val="20"/>
          <w:szCs w:val="20"/>
        </w:rPr>
        <w:t>fjernvarmeforsyning</w:t>
      </w:r>
      <w:r w:rsidR="00900AC5">
        <w:rPr>
          <w:rFonts w:ascii="Verdana" w:hAnsi="Verdana"/>
          <w:bCs/>
          <w:sz w:val="20"/>
          <w:szCs w:val="20"/>
        </w:rPr>
        <w:t>en</w:t>
      </w:r>
      <w:r w:rsidR="00045D23">
        <w:rPr>
          <w:rFonts w:ascii="Verdana" w:hAnsi="Verdana"/>
          <w:bCs/>
          <w:sz w:val="20"/>
          <w:szCs w:val="20"/>
        </w:rPr>
        <w:t>.</w:t>
      </w:r>
    </w:p>
    <w:p w:rsidR="00045D23" w:rsidRPr="00045D23" w:rsidRDefault="00045D23" w:rsidP="00395042"/>
    <w:p w:rsidR="005D38FE" w:rsidRPr="008B5EFF" w:rsidRDefault="005D657A" w:rsidP="00395042">
      <w:pPr>
        <w:pStyle w:val="Overskrift2"/>
      </w:pPr>
      <w:bookmarkStart w:id="10" w:name="_Toc133169467"/>
      <w:r>
        <w:t xml:space="preserve">2.4 </w:t>
      </w:r>
      <w:r w:rsidR="005D38FE" w:rsidRPr="008B5EFF">
        <w:t>Andre prioriteter/</w:t>
      </w:r>
      <w:r w:rsidR="002505DA">
        <w:t>anmodninger</w:t>
      </w:r>
      <w:bookmarkEnd w:id="10"/>
    </w:p>
    <w:p w:rsidR="005D38FE" w:rsidRDefault="00895BEC" w:rsidP="00395042">
      <w:pPr>
        <w:pStyle w:val="NormalWeb"/>
        <w:spacing w:before="0" w:beforeAutospacing="0" w:line="276" w:lineRule="auto"/>
        <w:jc w:val="both"/>
        <w:rPr>
          <w:rFonts w:ascii="Verdana" w:hAnsi="Verdana"/>
          <w:bCs/>
          <w:sz w:val="20"/>
          <w:szCs w:val="20"/>
        </w:rPr>
      </w:pPr>
      <w:r w:rsidRPr="00895BEC">
        <w:rPr>
          <w:rFonts w:ascii="Verdana" w:hAnsi="Verdana"/>
          <w:bCs/>
          <w:sz w:val="20"/>
          <w:szCs w:val="20"/>
        </w:rPr>
        <w:t xml:space="preserve">I dialogen med </w:t>
      </w:r>
      <w:r>
        <w:rPr>
          <w:rFonts w:ascii="Verdana" w:hAnsi="Verdana"/>
          <w:bCs/>
          <w:sz w:val="20"/>
          <w:szCs w:val="20"/>
        </w:rPr>
        <w:t xml:space="preserve">de ukrainske myndigheder i 2023 er der endvidere fremkommet følgende </w:t>
      </w:r>
      <w:r w:rsidR="0052713A">
        <w:rPr>
          <w:rFonts w:ascii="Verdana" w:hAnsi="Verdana"/>
          <w:bCs/>
          <w:sz w:val="20"/>
          <w:szCs w:val="20"/>
        </w:rPr>
        <w:t xml:space="preserve">specifikke </w:t>
      </w:r>
      <w:r>
        <w:rPr>
          <w:rFonts w:ascii="Verdana" w:hAnsi="Verdana"/>
          <w:bCs/>
          <w:sz w:val="20"/>
          <w:szCs w:val="20"/>
        </w:rPr>
        <w:t>ønsker om samarbejde og støtte:</w:t>
      </w:r>
    </w:p>
    <w:p w:rsidR="00895BEC" w:rsidRDefault="00895BEC" w:rsidP="00395042">
      <w:pPr>
        <w:pStyle w:val="NormalWeb"/>
        <w:numPr>
          <w:ilvl w:val="0"/>
          <w:numId w:val="42"/>
        </w:numPr>
        <w:spacing w:line="276" w:lineRule="auto"/>
        <w:jc w:val="both"/>
        <w:rPr>
          <w:rFonts w:ascii="Verdana" w:hAnsi="Verdana"/>
          <w:bCs/>
          <w:sz w:val="20"/>
          <w:szCs w:val="20"/>
        </w:rPr>
      </w:pPr>
      <w:r>
        <w:rPr>
          <w:rFonts w:ascii="Verdana" w:hAnsi="Verdana"/>
          <w:bCs/>
          <w:sz w:val="20"/>
          <w:szCs w:val="20"/>
        </w:rPr>
        <w:t>Samarbejde mellem ukrainske og danske byer og kommune</w:t>
      </w:r>
      <w:r w:rsidR="00306694">
        <w:rPr>
          <w:rFonts w:ascii="Verdana" w:hAnsi="Verdana"/>
          <w:bCs/>
          <w:sz w:val="20"/>
          <w:szCs w:val="20"/>
        </w:rPr>
        <w:t>r</w:t>
      </w:r>
      <w:r>
        <w:rPr>
          <w:rFonts w:ascii="Verdana" w:hAnsi="Verdana"/>
          <w:bCs/>
          <w:sz w:val="20"/>
          <w:szCs w:val="20"/>
        </w:rPr>
        <w:t>, med ønske om at trække på danske kommuners know-how.</w:t>
      </w:r>
    </w:p>
    <w:p w:rsidR="00895BEC" w:rsidRDefault="00895BEC" w:rsidP="00395042">
      <w:pPr>
        <w:pStyle w:val="NormalWeb"/>
        <w:numPr>
          <w:ilvl w:val="0"/>
          <w:numId w:val="42"/>
        </w:numPr>
        <w:spacing w:line="276" w:lineRule="auto"/>
        <w:jc w:val="both"/>
        <w:rPr>
          <w:rFonts w:ascii="Verdana" w:hAnsi="Verdana"/>
          <w:bCs/>
          <w:sz w:val="20"/>
          <w:szCs w:val="20"/>
        </w:rPr>
      </w:pPr>
      <w:r>
        <w:rPr>
          <w:rFonts w:ascii="Verdana" w:hAnsi="Verdana"/>
          <w:bCs/>
          <w:sz w:val="20"/>
          <w:szCs w:val="20"/>
        </w:rPr>
        <w:lastRenderedPageBreak/>
        <w:t>Engagement af dansk</w:t>
      </w:r>
      <w:r w:rsidR="00E267F9">
        <w:rPr>
          <w:rFonts w:ascii="Verdana" w:hAnsi="Verdana"/>
          <w:bCs/>
          <w:sz w:val="20"/>
          <w:szCs w:val="20"/>
        </w:rPr>
        <w:t>e</w:t>
      </w:r>
      <w:r>
        <w:rPr>
          <w:rFonts w:ascii="Verdana" w:hAnsi="Verdana"/>
          <w:bCs/>
          <w:sz w:val="20"/>
          <w:szCs w:val="20"/>
        </w:rPr>
        <w:t xml:space="preserve"> civilsamfundsorganisationer med henblik på at mobilisere ressourcer og fremme samarbejde med </w:t>
      </w:r>
      <w:r w:rsidR="009723A1">
        <w:rPr>
          <w:rFonts w:ascii="Verdana" w:hAnsi="Verdana"/>
          <w:bCs/>
          <w:sz w:val="20"/>
          <w:szCs w:val="20"/>
        </w:rPr>
        <w:t xml:space="preserve">det </w:t>
      </w:r>
      <w:r>
        <w:rPr>
          <w:rFonts w:ascii="Verdana" w:hAnsi="Verdana"/>
          <w:bCs/>
          <w:sz w:val="20"/>
          <w:szCs w:val="20"/>
        </w:rPr>
        <w:t xml:space="preserve">ukrainske </w:t>
      </w:r>
      <w:r w:rsidR="009723A1">
        <w:rPr>
          <w:rFonts w:ascii="Verdana" w:hAnsi="Verdana"/>
          <w:bCs/>
          <w:sz w:val="20"/>
          <w:szCs w:val="20"/>
        </w:rPr>
        <w:t>civilsamfund</w:t>
      </w:r>
      <w:r w:rsidR="0052713A">
        <w:rPr>
          <w:rFonts w:ascii="Verdana" w:hAnsi="Verdana"/>
          <w:bCs/>
          <w:sz w:val="20"/>
          <w:szCs w:val="20"/>
        </w:rPr>
        <w:t xml:space="preserve"> – herunder unge i Mykolaiv.</w:t>
      </w:r>
    </w:p>
    <w:p w:rsidR="00895BEC" w:rsidRDefault="00895BEC" w:rsidP="00395042">
      <w:pPr>
        <w:pStyle w:val="NormalWeb"/>
        <w:numPr>
          <w:ilvl w:val="0"/>
          <w:numId w:val="42"/>
        </w:numPr>
        <w:spacing w:line="276" w:lineRule="auto"/>
        <w:jc w:val="both"/>
        <w:rPr>
          <w:rFonts w:ascii="Verdana" w:hAnsi="Verdana"/>
          <w:bCs/>
          <w:sz w:val="20"/>
          <w:szCs w:val="20"/>
        </w:rPr>
      </w:pPr>
      <w:r>
        <w:rPr>
          <w:rFonts w:ascii="Verdana" w:hAnsi="Verdana"/>
          <w:bCs/>
          <w:sz w:val="20"/>
          <w:szCs w:val="20"/>
        </w:rPr>
        <w:t xml:space="preserve">Modtagelse af </w:t>
      </w:r>
      <w:r w:rsidR="00306694">
        <w:rPr>
          <w:rFonts w:ascii="Verdana" w:hAnsi="Verdana"/>
          <w:bCs/>
          <w:sz w:val="20"/>
          <w:szCs w:val="20"/>
        </w:rPr>
        <w:t xml:space="preserve">fysiske </w:t>
      </w:r>
      <w:r>
        <w:rPr>
          <w:rFonts w:ascii="Verdana" w:hAnsi="Verdana"/>
          <w:bCs/>
          <w:sz w:val="20"/>
          <w:szCs w:val="20"/>
        </w:rPr>
        <w:t>donationer</w:t>
      </w:r>
      <w:r w:rsidR="00306694">
        <w:rPr>
          <w:rFonts w:ascii="Verdana" w:hAnsi="Verdana"/>
          <w:bCs/>
          <w:sz w:val="20"/>
          <w:szCs w:val="20"/>
        </w:rPr>
        <w:t xml:space="preserve"> (materiel, udstyr, reservedele m.v.)</w:t>
      </w:r>
      <w:r>
        <w:rPr>
          <w:rFonts w:ascii="Verdana" w:hAnsi="Verdana"/>
          <w:bCs/>
          <w:sz w:val="20"/>
          <w:szCs w:val="20"/>
        </w:rPr>
        <w:t xml:space="preserve"> fra både kommuner og private indsamlinger, hvor der ofte har været udvist vilje til at foretage donation, men har været </w:t>
      </w:r>
      <w:r w:rsidR="0052713A">
        <w:rPr>
          <w:rFonts w:ascii="Verdana" w:hAnsi="Verdana"/>
          <w:bCs/>
          <w:sz w:val="20"/>
          <w:szCs w:val="20"/>
        </w:rPr>
        <w:t>udfordringer</w:t>
      </w:r>
      <w:r>
        <w:rPr>
          <w:rFonts w:ascii="Verdana" w:hAnsi="Verdana"/>
          <w:bCs/>
          <w:sz w:val="20"/>
          <w:szCs w:val="20"/>
        </w:rPr>
        <w:t xml:space="preserve"> mht. forsendelse af disse. </w:t>
      </w:r>
    </w:p>
    <w:p w:rsidR="003E2CA5" w:rsidRDefault="005C432C" w:rsidP="00395042">
      <w:pPr>
        <w:pStyle w:val="NormalWeb"/>
        <w:spacing w:after="0" w:afterAutospacing="0" w:line="276" w:lineRule="auto"/>
        <w:jc w:val="both"/>
        <w:rPr>
          <w:rFonts w:ascii="Verdana" w:hAnsi="Verdana"/>
          <w:bCs/>
          <w:sz w:val="20"/>
          <w:szCs w:val="20"/>
        </w:rPr>
      </w:pPr>
      <w:r>
        <w:rPr>
          <w:rFonts w:ascii="Verdana" w:hAnsi="Verdana"/>
          <w:bCs/>
          <w:sz w:val="20"/>
          <w:szCs w:val="20"/>
        </w:rPr>
        <w:t xml:space="preserve">Bag disse </w:t>
      </w:r>
      <w:r w:rsidR="0052713A">
        <w:rPr>
          <w:rFonts w:ascii="Verdana" w:hAnsi="Verdana"/>
          <w:bCs/>
          <w:sz w:val="20"/>
          <w:szCs w:val="20"/>
        </w:rPr>
        <w:t>anmodninger ligger endvidere</w:t>
      </w:r>
      <w:r>
        <w:rPr>
          <w:rFonts w:ascii="Verdana" w:hAnsi="Verdana"/>
          <w:bCs/>
          <w:sz w:val="20"/>
          <w:szCs w:val="20"/>
        </w:rPr>
        <w:t xml:space="preserve"> et ukrainsk ønske om at fremme brede dansk-ukrainske samarbejdsflader med henblik på at fremme langsigtet samarbejde</w:t>
      </w:r>
      <w:r w:rsidR="00900AC5">
        <w:rPr>
          <w:rFonts w:ascii="Verdana" w:hAnsi="Verdana"/>
          <w:bCs/>
          <w:sz w:val="20"/>
          <w:szCs w:val="20"/>
        </w:rPr>
        <w:t xml:space="preserve">, </w:t>
      </w:r>
      <w:r>
        <w:rPr>
          <w:rFonts w:ascii="Verdana" w:hAnsi="Verdana"/>
          <w:bCs/>
          <w:sz w:val="20"/>
          <w:szCs w:val="20"/>
        </w:rPr>
        <w:t>solidaritet</w:t>
      </w:r>
      <w:r w:rsidR="00900AC5">
        <w:rPr>
          <w:rFonts w:ascii="Verdana" w:hAnsi="Verdana"/>
          <w:bCs/>
          <w:sz w:val="20"/>
          <w:szCs w:val="20"/>
        </w:rPr>
        <w:t xml:space="preserve"> og privatsektor-drevet bæredygtig vækst</w:t>
      </w:r>
      <w:r>
        <w:rPr>
          <w:rFonts w:ascii="Verdana" w:hAnsi="Verdana"/>
          <w:bCs/>
          <w:sz w:val="20"/>
          <w:szCs w:val="20"/>
        </w:rPr>
        <w:t>.</w:t>
      </w:r>
    </w:p>
    <w:p w:rsidR="005C432C" w:rsidRDefault="005C432C" w:rsidP="00395042">
      <w:pPr>
        <w:pStyle w:val="Overskrift2"/>
      </w:pPr>
    </w:p>
    <w:p w:rsidR="003E2CA5" w:rsidRDefault="005D657A" w:rsidP="00395042">
      <w:pPr>
        <w:pStyle w:val="Overskrift2"/>
      </w:pPr>
      <w:bookmarkStart w:id="11" w:name="_Toc133169468"/>
      <w:r>
        <w:t xml:space="preserve">2.5 </w:t>
      </w:r>
      <w:r w:rsidR="00AE47C0">
        <w:t>Ukrainsk plan for f</w:t>
      </w:r>
      <w:r w:rsidR="003E2CA5">
        <w:t>aseinddeling</w:t>
      </w:r>
      <w:r>
        <w:t xml:space="preserve"> af genopbygningen</w:t>
      </w:r>
      <w:bookmarkEnd w:id="11"/>
    </w:p>
    <w:p w:rsidR="003E2CA5" w:rsidRDefault="001E5791" w:rsidP="00395042">
      <w:pPr>
        <w:spacing w:after="0"/>
        <w:jc w:val="both"/>
      </w:pPr>
      <w:r>
        <w:rPr>
          <w:bCs/>
        </w:rPr>
        <w:t>Ukraine er et enormt land, og de forskellige dele af ukrainsk-kontrollerede områder er ulige ramt af kampe og angreb, ødelæggelser og tab, økonomisk aktivitet, adgang til sociale services og tilstedeværelse af fordrevne eller sårbare borgere.</w:t>
      </w:r>
      <w:r w:rsidR="003E2CA5">
        <w:rPr>
          <w:bCs/>
        </w:rPr>
        <w:t xml:space="preserve"> Det betyder, at genopbygningsindsatsen ikke kan gennemføres på samme vis eller i samme tempo overalt og konstant må tilpasse</w:t>
      </w:r>
      <w:r w:rsidR="00C94EFF">
        <w:rPr>
          <w:bCs/>
        </w:rPr>
        <w:t>s</w:t>
      </w:r>
      <w:r w:rsidR="003E2CA5">
        <w:rPr>
          <w:bCs/>
        </w:rPr>
        <w:t xml:space="preserve"> forholdene. Allerede på </w:t>
      </w:r>
      <w:r w:rsidR="003E2CA5">
        <w:t>’Ukraine Recovery Conference’ i juli 2022 i Lugano/Schweiz, fremlagde Ukraine en genopbygningsplan inddelt i 3 faser:</w:t>
      </w:r>
    </w:p>
    <w:p w:rsidR="003E2CA5" w:rsidRDefault="003E2CA5" w:rsidP="00395042">
      <w:pPr>
        <w:spacing w:after="0"/>
        <w:jc w:val="both"/>
      </w:pPr>
    </w:p>
    <w:p w:rsidR="003E2CA5" w:rsidRDefault="003E2CA5" w:rsidP="00395042">
      <w:pPr>
        <w:pStyle w:val="Listeafsnit"/>
        <w:numPr>
          <w:ilvl w:val="0"/>
          <w:numId w:val="30"/>
        </w:numPr>
        <w:spacing w:after="0"/>
        <w:jc w:val="both"/>
      </w:pPr>
      <w:r>
        <w:rPr>
          <w:i/>
        </w:rPr>
        <w:t xml:space="preserve">En akut/tidlig genopretningsfase (’Early recovery’) </w:t>
      </w:r>
      <w:r>
        <w:t>mens krigshandlingerne fortsættes med fokus på nødtørftige reparationer af boliger, opførelse af midlertidige boliger og administrationsbygninger samt nødreparation af kritisk infrastruktur og etablering af nødfor</w:t>
      </w:r>
      <w:r w:rsidR="00CA32F7">
        <w:t>syning fsva. el, varme og vand.</w:t>
      </w:r>
    </w:p>
    <w:p w:rsidR="003E2CA5" w:rsidRDefault="003E2CA5" w:rsidP="00395042">
      <w:pPr>
        <w:pStyle w:val="Listeafsnit"/>
        <w:numPr>
          <w:ilvl w:val="0"/>
          <w:numId w:val="30"/>
        </w:numPr>
        <w:spacing w:after="0"/>
        <w:jc w:val="both"/>
      </w:pPr>
      <w:r>
        <w:t>En genopbygningsfase, hvor fokus vil være på oprydning, minerydning samt rekonstruktion af basal infrastruktur og boligområder. Denne fase forudses at vare 1-2 år.</w:t>
      </w:r>
    </w:p>
    <w:p w:rsidR="003E2CA5" w:rsidRDefault="003E2CA5" w:rsidP="00395042">
      <w:pPr>
        <w:pStyle w:val="Listeafsnit"/>
        <w:numPr>
          <w:ilvl w:val="0"/>
          <w:numId w:val="30"/>
        </w:numPr>
        <w:spacing w:after="0"/>
        <w:jc w:val="both"/>
      </w:pPr>
      <w:r>
        <w:t xml:space="preserve">En </w:t>
      </w:r>
      <w:r>
        <w:rPr>
          <w:i/>
        </w:rPr>
        <w:t>langsigtet udviklingsfase</w:t>
      </w:r>
      <w:r>
        <w:t xml:space="preserve"> med en </w:t>
      </w:r>
      <w:r>
        <w:rPr>
          <w:i/>
        </w:rPr>
        <w:t>’Marshall-plan’</w:t>
      </w:r>
      <w:r>
        <w:t xml:space="preserve">-lignende indsats med fokus på ’build back better and greener’, hvor genopbygning og </w:t>
      </w:r>
      <w:r w:rsidR="00900AC5">
        <w:t xml:space="preserve">privatsektor-drevet </w:t>
      </w:r>
      <w:r>
        <w:t xml:space="preserve">økonomisk vækst kombineres med grøn </w:t>
      </w:r>
      <w:r w:rsidR="00A759A2">
        <w:t xml:space="preserve">omstilling og </w:t>
      </w:r>
      <w:r>
        <w:t>bæredygtighed.</w:t>
      </w:r>
    </w:p>
    <w:p w:rsidR="003E2CA5" w:rsidRDefault="003E2CA5" w:rsidP="00395042">
      <w:pPr>
        <w:spacing w:after="0"/>
        <w:jc w:val="both"/>
      </w:pPr>
    </w:p>
    <w:p w:rsidR="003E2CA5" w:rsidRDefault="005D657A" w:rsidP="00395042">
      <w:pPr>
        <w:pStyle w:val="Overskrift2"/>
      </w:pPr>
      <w:bookmarkStart w:id="12" w:name="_Toc133169469"/>
      <w:r>
        <w:t xml:space="preserve">2.6 </w:t>
      </w:r>
      <w:r w:rsidR="003E2CA5" w:rsidRPr="00A97FB2">
        <w:t>Koordinering af bistanden</w:t>
      </w:r>
      <w:bookmarkEnd w:id="12"/>
      <w:r w:rsidR="003E2CA5">
        <w:t xml:space="preserve"> </w:t>
      </w:r>
    </w:p>
    <w:p w:rsidR="003E2CA5" w:rsidRDefault="003E2CA5" w:rsidP="00395042">
      <w:pPr>
        <w:spacing w:after="0"/>
        <w:jc w:val="both"/>
      </w:pPr>
      <w:r>
        <w:t>Der forestår e</w:t>
      </w:r>
      <w:r w:rsidR="002505DA">
        <w:t>t stort og komplekst arbejde for</w:t>
      </w:r>
      <w:r>
        <w:t xml:space="preserve"> at sikre bedst mulig koordination af støtten til Ukraine</w:t>
      </w:r>
      <w:r w:rsidR="00CA32F7">
        <w:t xml:space="preserve">, der omfatter indsatser </w:t>
      </w:r>
      <w:r>
        <w:t xml:space="preserve">gennem udviklingsbankerne og </w:t>
      </w:r>
      <w:r w:rsidR="00CA32F7">
        <w:t xml:space="preserve">de </w:t>
      </w:r>
      <w:r>
        <w:t>multilaterale organisationer, s</w:t>
      </w:r>
      <w:r w:rsidR="00CA32F7">
        <w:t xml:space="preserve">åvel som bilaterale indsatser og støtte fra de store humanitære organisationer. </w:t>
      </w:r>
      <w:r>
        <w:t xml:space="preserve">Forskellige fora er etableret, herunder </w:t>
      </w:r>
      <w:r w:rsidR="000E61AC">
        <w:t>’</w:t>
      </w:r>
      <w:r>
        <w:t>Multi-agency Donor Coordination Platform for Ukraine</w:t>
      </w:r>
      <w:r w:rsidR="000E61AC">
        <w:t>’</w:t>
      </w:r>
      <w:r>
        <w:t xml:space="preserve">, der blev lanceret </w:t>
      </w:r>
      <w:r w:rsidR="000E61AC">
        <w:t xml:space="preserve">af G7 og EU </w:t>
      </w:r>
      <w:r>
        <w:t xml:space="preserve">i januar 2023 med henblik på at forestå koordination af støtten til både kortsigtet støtte og længerevarende økonomisk genopbygning. </w:t>
      </w:r>
    </w:p>
    <w:p w:rsidR="003E2CA5" w:rsidRDefault="003E2CA5" w:rsidP="00395042">
      <w:pPr>
        <w:spacing w:after="0"/>
        <w:jc w:val="both"/>
        <w:rPr>
          <w:u w:val="single"/>
        </w:rPr>
      </w:pPr>
    </w:p>
    <w:p w:rsidR="003E2CA5" w:rsidRDefault="00FF438A" w:rsidP="00395042">
      <w:pPr>
        <w:spacing w:after="0"/>
        <w:jc w:val="both"/>
        <w:rPr>
          <w:u w:val="single"/>
        </w:rPr>
      </w:pPr>
      <w:r>
        <w:rPr>
          <w:u w:val="single"/>
        </w:rPr>
        <w:t xml:space="preserve">Nationalt niveau </w:t>
      </w:r>
    </w:p>
    <w:p w:rsidR="00FF438A" w:rsidRDefault="00FF438A" w:rsidP="00DB6BFA">
      <w:pPr>
        <w:jc w:val="both"/>
      </w:pPr>
      <w:r w:rsidRPr="00FF438A">
        <w:t xml:space="preserve">Donorkoordinationen på nationalt niveau omfatter dels </w:t>
      </w:r>
      <w:r w:rsidR="00DB6BFA">
        <w:t>de</w:t>
      </w:r>
      <w:r w:rsidR="00291E68">
        <w:t>t</w:t>
      </w:r>
      <w:r w:rsidR="00DB6BFA">
        <w:t xml:space="preserve"> ukrainske </w:t>
      </w:r>
      <w:r w:rsidR="00291E68">
        <w:t>kabinet</w:t>
      </w:r>
      <w:r w:rsidRPr="00FF438A">
        <w:t>, hvor en udviklingspolitisk underdirektør på vegne af premierministeren koordinerer den ukrainske indsats</w:t>
      </w:r>
      <w:r>
        <w:t>,</w:t>
      </w:r>
      <w:r w:rsidRPr="00FF438A">
        <w:t xml:space="preserve"> dels det nye Ministerium for Genopbygning</w:t>
      </w:r>
      <w:r w:rsidR="006A7D77">
        <w:t>, hvor d</w:t>
      </w:r>
      <w:r w:rsidR="000E61AC">
        <w:t>en ny</w:t>
      </w:r>
      <w:r w:rsidRPr="00FF438A">
        <w:t>etablerede styrelse for genop</w:t>
      </w:r>
      <w:r w:rsidRPr="00960E31">
        <w:t>bygning (”State Agency for Restoration”) forventes at spille en afgørende rolle i såvel genopbygningen som dens koordination.</w:t>
      </w:r>
      <w:r w:rsidR="00CA32F7" w:rsidRPr="00960E31">
        <w:t xml:space="preserve"> </w:t>
      </w:r>
      <w:r w:rsidRPr="00960E31">
        <w:t xml:space="preserve">Den daglige koordination mellem regering og donorer foregår i tre niveauer. Det første niveau er mellem kabinettet og </w:t>
      </w:r>
      <w:r w:rsidR="00A759A2" w:rsidRPr="00960E31">
        <w:t xml:space="preserve">udenlandske </w:t>
      </w:r>
      <w:r w:rsidRPr="00960E31">
        <w:t>ambassadører</w:t>
      </w:r>
      <w:r w:rsidR="00A759A2" w:rsidRPr="00960E31">
        <w:t xml:space="preserve"> i Kyiv</w:t>
      </w:r>
      <w:r w:rsidRPr="00960E31">
        <w:t xml:space="preserve">. Det næste niveau er </w:t>
      </w:r>
      <w:r w:rsidR="000E61AC" w:rsidRPr="00960E31">
        <w:t xml:space="preserve">det såkaldte ’Head of Cooperation’ </w:t>
      </w:r>
      <w:r w:rsidR="00A759A2" w:rsidRPr="00960E31">
        <w:t>forum</w:t>
      </w:r>
      <w:r w:rsidR="00291E68">
        <w:t>, hvor</w:t>
      </w:r>
      <w:r w:rsidR="00A759A2" w:rsidRPr="00960E31">
        <w:t xml:space="preserve"> </w:t>
      </w:r>
      <w:r w:rsidRPr="00960E31">
        <w:t>donorlande</w:t>
      </w:r>
      <w:r w:rsidR="00291E68">
        <w:t>ne</w:t>
      </w:r>
      <w:r w:rsidRPr="00960E31">
        <w:t xml:space="preserve">s udviklingspolitiske </w:t>
      </w:r>
      <w:r w:rsidR="000E61AC" w:rsidRPr="00960E31">
        <w:t>ansvarlige</w:t>
      </w:r>
      <w:r w:rsidR="006A7D77" w:rsidRPr="00960E31">
        <w:t xml:space="preserve"> i Kyiv</w:t>
      </w:r>
      <w:r w:rsidR="00291E68">
        <w:t xml:space="preserve"> mødes</w:t>
      </w:r>
      <w:r w:rsidR="00960E31" w:rsidRPr="00960E31">
        <w:t xml:space="preserve"> </w:t>
      </w:r>
      <w:r w:rsidR="006A7D77" w:rsidRPr="00960E31">
        <w:t>(</w:t>
      </w:r>
      <w:r w:rsidRPr="00960E31">
        <w:t xml:space="preserve">pt.  under delt formandskab ved FN’s </w:t>
      </w:r>
      <w:r w:rsidR="006A7D77" w:rsidRPr="00960E31">
        <w:t xml:space="preserve">overordnede koordinator i Ukraine </w:t>
      </w:r>
      <w:r w:rsidRPr="00960E31">
        <w:lastRenderedPageBreak/>
        <w:t>”Resident Coordinator” og EU-delegationen</w:t>
      </w:r>
      <w:r w:rsidR="00FA6901">
        <w:t>)</w:t>
      </w:r>
      <w:r w:rsidRPr="00960E31">
        <w:t>. Det tredje niveau består af ca. 25 tematiske arbejdsgrupper under delt formandskab af relevant viceminister og en repræsentant fra donorkredsen.</w:t>
      </w:r>
    </w:p>
    <w:p w:rsidR="00FF438A" w:rsidRPr="004162AE" w:rsidRDefault="00A47759" w:rsidP="00395042">
      <w:pPr>
        <w:spacing w:after="0"/>
        <w:rPr>
          <w:u w:val="single"/>
        </w:rPr>
      </w:pPr>
      <w:r w:rsidRPr="004162AE">
        <w:rPr>
          <w:u w:val="single"/>
        </w:rPr>
        <w:t>Mykolaiv</w:t>
      </w:r>
    </w:p>
    <w:p w:rsidR="001B2F3A" w:rsidRPr="0036534D" w:rsidRDefault="001B2F3A" w:rsidP="00960E31">
      <w:pPr>
        <w:jc w:val="both"/>
      </w:pPr>
      <w:r w:rsidRPr="0036534D">
        <w:t xml:space="preserve">Den danske bistand til Mykolaiv koordineres </w:t>
      </w:r>
      <w:r w:rsidR="0036534D">
        <w:t>i S</w:t>
      </w:r>
      <w:r w:rsidR="0036534D">
        <w:rPr>
          <w:rFonts w:cs="Arial"/>
        </w:rPr>
        <w:t>tyrekomitéen</w:t>
      </w:r>
      <w:r w:rsidR="0036534D" w:rsidRPr="0036534D">
        <w:rPr>
          <w:rFonts w:cs="Arial"/>
        </w:rPr>
        <w:t xml:space="preserve"> for Mykolaiv-Danmark </w:t>
      </w:r>
      <w:r w:rsidR="00291E68">
        <w:rPr>
          <w:rFonts w:cs="Arial"/>
        </w:rPr>
        <w:t>P</w:t>
      </w:r>
      <w:r w:rsidR="0036534D" w:rsidRPr="0036534D">
        <w:rPr>
          <w:rFonts w:cs="Arial"/>
        </w:rPr>
        <w:t>artnerskab</w:t>
      </w:r>
      <w:r w:rsidR="00E044D8">
        <w:rPr>
          <w:rFonts w:cs="Arial"/>
        </w:rPr>
        <w:t xml:space="preserve"> under ledelse af </w:t>
      </w:r>
      <w:r w:rsidR="00276E3C">
        <w:rPr>
          <w:rFonts w:cs="Arial"/>
        </w:rPr>
        <w:t xml:space="preserve">Danmarks </w:t>
      </w:r>
      <w:r w:rsidR="00E044D8">
        <w:rPr>
          <w:rFonts w:cs="Arial"/>
        </w:rPr>
        <w:t xml:space="preserve">minister for udviklingssamarbejde og global klimapolitik og </w:t>
      </w:r>
      <w:r w:rsidR="00276E3C">
        <w:rPr>
          <w:rFonts w:cs="Arial"/>
        </w:rPr>
        <w:t xml:space="preserve">Ukraines </w:t>
      </w:r>
      <w:r w:rsidR="0036534D" w:rsidRPr="0036534D">
        <w:rPr>
          <w:rFonts w:cs="Arial"/>
        </w:rPr>
        <w:t xml:space="preserve">vicepremierminister </w:t>
      </w:r>
      <w:r w:rsidR="008E20E6">
        <w:rPr>
          <w:rFonts w:cs="Arial"/>
        </w:rPr>
        <w:t xml:space="preserve">og minister </w:t>
      </w:r>
      <w:r w:rsidR="0036534D" w:rsidRPr="0036534D">
        <w:rPr>
          <w:rFonts w:cs="Arial"/>
        </w:rPr>
        <w:t>for genopbygning</w:t>
      </w:r>
      <w:r w:rsidR="00276E3C">
        <w:rPr>
          <w:rFonts w:cs="Arial"/>
        </w:rPr>
        <w:t xml:space="preserve">. Herudover </w:t>
      </w:r>
      <w:r w:rsidR="00E044D8">
        <w:rPr>
          <w:rFonts w:cs="Arial"/>
        </w:rPr>
        <w:t>deltage</w:t>
      </w:r>
      <w:r w:rsidR="00276E3C">
        <w:rPr>
          <w:rFonts w:cs="Arial"/>
        </w:rPr>
        <w:t xml:space="preserve">r </w:t>
      </w:r>
      <w:r w:rsidR="0036534D">
        <w:rPr>
          <w:rFonts w:cs="Arial"/>
        </w:rPr>
        <w:t>repræsentanter for myndighederne i Mykolaiv</w:t>
      </w:r>
      <w:r w:rsidR="00E044D8">
        <w:rPr>
          <w:rFonts w:cs="Arial"/>
        </w:rPr>
        <w:t xml:space="preserve">, </w:t>
      </w:r>
      <w:r w:rsidR="00CA32F7">
        <w:rPr>
          <w:rFonts w:cs="Arial"/>
        </w:rPr>
        <w:t>ambassaden</w:t>
      </w:r>
      <w:r w:rsidR="00E044D8">
        <w:rPr>
          <w:rFonts w:cs="Arial"/>
        </w:rPr>
        <w:t xml:space="preserve"> i Kyiv og Udenrigsministeriet. </w:t>
      </w:r>
      <w:r w:rsidR="0036534D">
        <w:rPr>
          <w:rFonts w:cs="Arial"/>
        </w:rPr>
        <w:t>Styrekomiteen fastlægge</w:t>
      </w:r>
      <w:r w:rsidR="00D9007F">
        <w:rPr>
          <w:rFonts w:cs="Arial"/>
        </w:rPr>
        <w:t>r</w:t>
      </w:r>
      <w:r w:rsidR="0036534D">
        <w:rPr>
          <w:rFonts w:cs="Arial"/>
        </w:rPr>
        <w:t xml:space="preserve"> de overordnede principper for det dansk</w:t>
      </w:r>
      <w:r w:rsidR="00291E68">
        <w:rPr>
          <w:rFonts w:cs="Arial"/>
        </w:rPr>
        <w:t>-ukrainsk</w:t>
      </w:r>
      <w:r w:rsidR="0036534D">
        <w:rPr>
          <w:rFonts w:cs="Arial"/>
        </w:rPr>
        <w:t xml:space="preserve">e samarbejde og enkeltindsatser drøftes og besluttes. Styrekomitéen mødes 2-4 gange om året og mellem møderne sker koordinering på teknisk niveau mellem den danske ambassade og de berørte </w:t>
      </w:r>
      <w:r w:rsidR="00E044D8">
        <w:rPr>
          <w:rFonts w:cs="Arial"/>
        </w:rPr>
        <w:t xml:space="preserve">ukrainske </w:t>
      </w:r>
      <w:r w:rsidR="0036534D">
        <w:rPr>
          <w:rFonts w:cs="Arial"/>
        </w:rPr>
        <w:t xml:space="preserve">myndigheder. </w:t>
      </w:r>
    </w:p>
    <w:p w:rsidR="0017587C" w:rsidRPr="00D9077B" w:rsidRDefault="0017587C" w:rsidP="00960E31">
      <w:pPr>
        <w:jc w:val="both"/>
      </w:pPr>
      <w:r w:rsidRPr="0036534D">
        <w:t>Danmark er ikke alene om at bistå Mykolaiv. En række bi- og multilaterale aktører bidrager eller planlægger at bidrage. Mykolaiv by</w:t>
      </w:r>
      <w:r w:rsidRPr="00D9077B">
        <w:t xml:space="preserve"> og regionale administration </w:t>
      </w:r>
      <w:r w:rsidR="0078609A">
        <w:t>for</w:t>
      </w:r>
      <w:r w:rsidR="00FA6901">
        <w:t>e</w:t>
      </w:r>
      <w:r w:rsidR="0078609A">
        <w:t>står</w:t>
      </w:r>
      <w:r w:rsidRPr="00D9077B">
        <w:t xml:space="preserve"> al koordination af indkommen såvel humanitær som civil udviklingsbistand.</w:t>
      </w:r>
      <w:r w:rsidR="00A47759">
        <w:t xml:space="preserve"> </w:t>
      </w:r>
    </w:p>
    <w:p w:rsidR="003E2CA5" w:rsidRDefault="005D657A" w:rsidP="00395042">
      <w:pPr>
        <w:pStyle w:val="Overskrift2"/>
      </w:pPr>
      <w:bookmarkStart w:id="13" w:name="_Toc133169470"/>
      <w:r>
        <w:t xml:space="preserve">2.7 </w:t>
      </w:r>
      <w:r w:rsidR="003E2CA5">
        <w:t>Scenarier og risici</w:t>
      </w:r>
      <w:bookmarkEnd w:id="13"/>
    </w:p>
    <w:p w:rsidR="003E2CA5" w:rsidRDefault="003E2CA5" w:rsidP="00395042">
      <w:pPr>
        <w:spacing w:after="0"/>
        <w:jc w:val="both"/>
      </w:pPr>
      <w:r>
        <w:t xml:space="preserve">Der ses pt. tre </w:t>
      </w:r>
      <w:r w:rsidR="00305190">
        <w:t xml:space="preserve">overordnede </w:t>
      </w:r>
      <w:r>
        <w:t xml:space="preserve">scenarier for udviklingen i Ukraine for 2023-2024.  </w:t>
      </w:r>
    </w:p>
    <w:p w:rsidR="003E2CA5" w:rsidRDefault="003E2CA5" w:rsidP="00395042">
      <w:pPr>
        <w:spacing w:after="0"/>
        <w:jc w:val="both"/>
      </w:pPr>
    </w:p>
    <w:p w:rsidR="003E2CA5" w:rsidRDefault="003E2CA5" w:rsidP="00395042">
      <w:pPr>
        <w:pStyle w:val="Listeafsnit"/>
        <w:numPr>
          <w:ilvl w:val="0"/>
          <w:numId w:val="31"/>
        </w:numPr>
        <w:spacing w:after="0"/>
        <w:jc w:val="both"/>
      </w:pPr>
      <w:r>
        <w:rPr>
          <w:i/>
        </w:rPr>
        <w:t>Negativt/forværret scenarie</w:t>
      </w:r>
      <w:r>
        <w:t xml:space="preserve">: I dette scenarie fortsættes eller øges krigshandlingerne fra russisk side i løbet af 2023-24. Ukraines regering og militær vil have primært fokus på landets forsvar og krigshandlinger. Ukrainsk territorium underlagt krigshandlinger eller russisk kontrol vil kunne øges i dette scenarie, og vanskeliggøre genopbygning, dels i områder direkte ramt af krigshandlinger, dels i det øvrige Ukraine som følge af generel reduceret sikkerhed i landet, økonomisk prioritering af krigsførelse, og øget antal internt fordrevne. Den ukrainske regering </w:t>
      </w:r>
      <w:r w:rsidR="00305190">
        <w:t xml:space="preserve">kan </w:t>
      </w:r>
      <w:r>
        <w:t xml:space="preserve">miste kontrollen over dele af </w:t>
      </w:r>
      <w:r w:rsidR="00305190">
        <w:t xml:space="preserve">eller hele </w:t>
      </w:r>
      <w:r>
        <w:t>Mykolaiv</w:t>
      </w:r>
      <w:r w:rsidR="00700FE6">
        <w:t>-regionen</w:t>
      </w:r>
      <w:r>
        <w:t xml:space="preserve">. </w:t>
      </w:r>
    </w:p>
    <w:p w:rsidR="003E2CA5" w:rsidRDefault="003E2CA5" w:rsidP="00395042">
      <w:pPr>
        <w:pStyle w:val="Listeafsnit"/>
        <w:spacing w:after="0"/>
        <w:jc w:val="both"/>
      </w:pPr>
    </w:p>
    <w:p w:rsidR="003E2CA5" w:rsidRDefault="003E2CA5" w:rsidP="00395042">
      <w:pPr>
        <w:pStyle w:val="Listeafsnit"/>
        <w:numPr>
          <w:ilvl w:val="0"/>
          <w:numId w:val="31"/>
        </w:numPr>
        <w:spacing w:after="0"/>
        <w:jc w:val="both"/>
      </w:pPr>
      <w:r>
        <w:rPr>
          <w:i/>
        </w:rPr>
        <w:t>Scenarie hvor kamphandlingerne indstilles:</w:t>
      </w:r>
      <w:r>
        <w:t xml:space="preserve"> Et scenarie, hvor der indgås fredsaftale mellem Rusland og Ukraine, eller hvor krigshandlingerne på anden vis indstilles. Dette scenarie kan omfatte, at Ukraine får kontrol over hele eller hovedparten af sit territorium og dermed får fysisk adgang til at kunne iværksætte genopbygning i også tidligere russisk kontrollerede områder. Fordrevne borgere vil gradvist kunne vende tilbage afhængig af forholdene i deres hjemområder. </w:t>
      </w:r>
    </w:p>
    <w:p w:rsidR="003E2CA5" w:rsidRDefault="003E2CA5" w:rsidP="00395042">
      <w:pPr>
        <w:pStyle w:val="Listeafsnit"/>
        <w:spacing w:after="0"/>
        <w:jc w:val="both"/>
      </w:pPr>
    </w:p>
    <w:p w:rsidR="003E2CA5" w:rsidRDefault="002D3AAA" w:rsidP="00395042">
      <w:pPr>
        <w:pStyle w:val="Listeafsnit"/>
        <w:numPr>
          <w:ilvl w:val="0"/>
          <w:numId w:val="31"/>
        </w:numPr>
        <w:spacing w:after="0"/>
        <w:jc w:val="both"/>
      </w:pPr>
      <w:r>
        <w:rPr>
          <w:i/>
        </w:rPr>
        <w:t>Mellemscenarium. Ukrainsk kontrol over Mykolaiv, men fortsatte kamphandlinger</w:t>
      </w:r>
      <w:r w:rsidR="003E2CA5">
        <w:rPr>
          <w:i/>
        </w:rPr>
        <w:t>:</w:t>
      </w:r>
      <w:r w:rsidR="003E2CA5">
        <w:t xml:space="preserve"> Den nuværende situation fortsætter med daglige krigshandlinger mod øst og syd, men kun sporadiske missil- og droneangreb</w:t>
      </w:r>
      <w:r w:rsidR="00F5445D">
        <w:t xml:space="preserve"> i</w:t>
      </w:r>
      <w:r w:rsidR="003E2CA5">
        <w:t xml:space="preserve"> resten af landet. Ukraine bevarer kontrollen med Mykolaiv-regionen og Kherson by og der ses tilbagevenden </w:t>
      </w:r>
      <w:r w:rsidR="00E25E10">
        <w:t>af et</w:t>
      </w:r>
      <w:r w:rsidR="003E2CA5">
        <w:t xml:space="preserve"> stigende antal indbyggere i Mykolaiv. I dette scenarie er det muligt at genopbygge prioriteret</w:t>
      </w:r>
      <w:r w:rsidR="00305190">
        <w:t xml:space="preserve"> </w:t>
      </w:r>
      <w:r w:rsidR="003E2CA5">
        <w:t>infrastruktur og forberede en egentlig genopbygning baseret på behovsanalyse og national koordination.</w:t>
      </w:r>
    </w:p>
    <w:p w:rsidR="003E2CA5" w:rsidRDefault="003E2CA5" w:rsidP="00395042">
      <w:pPr>
        <w:spacing w:after="0"/>
        <w:jc w:val="both"/>
      </w:pPr>
    </w:p>
    <w:p w:rsidR="003E2CA5" w:rsidRDefault="00FD4B4F" w:rsidP="00395042">
      <w:pPr>
        <w:spacing w:after="0"/>
        <w:jc w:val="both"/>
      </w:pPr>
      <w:r>
        <w:t>Strateginoten</w:t>
      </w:r>
      <w:r w:rsidR="003E2CA5">
        <w:t xml:space="preserve"> tager udgangspunkt i </w:t>
      </w:r>
      <w:r w:rsidR="002D3AAA">
        <w:t>mellem</w:t>
      </w:r>
      <w:r w:rsidR="003E2CA5">
        <w:t xml:space="preserve">scenariet, der beskriver den aktuelle situation og tillige vurderes som det mest sandsynlige for 2023-2024. </w:t>
      </w:r>
    </w:p>
    <w:p w:rsidR="003E2CA5" w:rsidRDefault="003E2CA5" w:rsidP="00395042">
      <w:pPr>
        <w:spacing w:after="0"/>
        <w:jc w:val="both"/>
      </w:pPr>
    </w:p>
    <w:p w:rsidR="003E2CA5" w:rsidRDefault="003E2CA5" w:rsidP="00395042">
      <w:pPr>
        <w:spacing w:after="0"/>
        <w:jc w:val="both"/>
      </w:pPr>
      <w:r>
        <w:t xml:space="preserve">Der er </w:t>
      </w:r>
      <w:r w:rsidR="00F5445D">
        <w:t xml:space="preserve">betydelig </w:t>
      </w:r>
      <w:r>
        <w:t xml:space="preserve">risiko forbundet med at yde støtte til </w:t>
      </w:r>
      <w:r w:rsidR="008E20E6">
        <w:t>tidlig</w:t>
      </w:r>
      <w:r>
        <w:t xml:space="preserve"> genopbygning i Ukraine i </w:t>
      </w:r>
      <w:r w:rsidR="002D3AAA">
        <w:t>mellem</w:t>
      </w:r>
      <w:r>
        <w:t xml:space="preserve">scenariet, hvor der fortsat pågår krigshandlinger i dele af landet, og hvor russiske angreb kan ramme </w:t>
      </w:r>
      <w:r w:rsidR="00276E3C">
        <w:t>hele</w:t>
      </w:r>
      <w:r>
        <w:t xml:space="preserve"> landet - punktvis eller mere permanent. </w:t>
      </w:r>
      <w:r w:rsidR="004C744A">
        <w:t xml:space="preserve">Ligeledes kæmper Ukraine stadig med et </w:t>
      </w:r>
      <w:r w:rsidR="004C744A">
        <w:lastRenderedPageBreak/>
        <w:t xml:space="preserve">højt korruptionsniveau. </w:t>
      </w:r>
      <w:r>
        <w:t>Blandt de mest sandsynlige risici er</w:t>
      </w:r>
      <w:r w:rsidR="00AD0507">
        <w:t xml:space="preserve"> r</w:t>
      </w:r>
      <w:r>
        <w:t>isiko</w:t>
      </w:r>
      <w:r w:rsidR="00AD0507">
        <w:t>en</w:t>
      </w:r>
      <w:r>
        <w:t xml:space="preserve"> for</w:t>
      </w:r>
      <w:r w:rsidR="00E25E10">
        <w:t>,</w:t>
      </w:r>
      <w:r>
        <w:t xml:space="preserve"> at investeringer til genopbygning af infrastruktur og bygninger kan gå helt eller delvist tabt som følge af nye russiske angreb. Nye krigshandlinger kan tillige føre til tab eller fordrivelse af mennesker</w:t>
      </w:r>
      <w:r w:rsidR="00E25E10">
        <w:t xml:space="preserve"> samt</w:t>
      </w:r>
      <w:r>
        <w:t xml:space="preserve"> </w:t>
      </w:r>
      <w:r w:rsidR="00E25E10">
        <w:t xml:space="preserve">tab af </w:t>
      </w:r>
      <w:r>
        <w:t xml:space="preserve">faciliteter og forsyninger og dermed skabe mangel på arbejdskraft og specifikke kompetencer hos de ukrainske </w:t>
      </w:r>
      <w:r w:rsidR="00AD0507">
        <w:t>myndigheder, virksomheder og civilsamfundsorganisationer</w:t>
      </w:r>
      <w:r w:rsidR="004C744A">
        <w:t xml:space="preserve"> – ligesom korruption er en permanent risiko</w:t>
      </w:r>
      <w:r>
        <w:t xml:space="preserve">. Som følge af sikkerhedssituationen kan det desuden være mere vanskeligt at kontrollere anvendelsen af danske midler i Ukraine, herunder føre lige så tæt kontrol med og dokumentation af de enkelte investeringsprojekter, som normalt er et krav fra dansk side. </w:t>
      </w:r>
    </w:p>
    <w:p w:rsidR="003E2CA5" w:rsidRDefault="003E2CA5" w:rsidP="00395042">
      <w:pPr>
        <w:spacing w:after="0"/>
        <w:jc w:val="both"/>
      </w:pPr>
    </w:p>
    <w:p w:rsidR="0067268C" w:rsidRDefault="003E2CA5" w:rsidP="00395042">
      <w:pPr>
        <w:spacing w:after="0"/>
        <w:jc w:val="both"/>
      </w:pPr>
      <w:r>
        <w:t xml:space="preserve">Danmark vil søge at imødegå disse forskellige typer risici ved at følge </w:t>
      </w:r>
      <w:r w:rsidR="00F5445D">
        <w:t>udviklingen i Ukraine tæt</w:t>
      </w:r>
      <w:r>
        <w:t xml:space="preserve">, bl.a. </w:t>
      </w:r>
      <w:r w:rsidR="00F5445D">
        <w:t xml:space="preserve">gennem løbende </w:t>
      </w:r>
      <w:r>
        <w:t>dialog med relevante ukrainske mynd</w:t>
      </w:r>
      <w:r w:rsidR="00F5445D">
        <w:t>igheder både centralt og lokalt,</w:t>
      </w:r>
      <w:r w:rsidR="005658EB">
        <w:t xml:space="preserve"> </w:t>
      </w:r>
      <w:r>
        <w:t>samt ved at deltage i de etablerede koordinationsfora (med andre hovedaktører, herunder andre donorer). Herudover vil man fra dansk side fastholde markant fokus på anti-korruptionstiltag</w:t>
      </w:r>
      <w:r w:rsidR="004C744A">
        <w:t xml:space="preserve"> og transparens</w:t>
      </w:r>
      <w:r>
        <w:t xml:space="preserve"> i design</w:t>
      </w:r>
      <w:r w:rsidR="00F5445D">
        <w:t>et</w:t>
      </w:r>
      <w:r>
        <w:t xml:space="preserve"> af de enkelte indsatser, og derudover </w:t>
      </w:r>
      <w:r w:rsidR="00AD0507">
        <w:t xml:space="preserve">gradvist </w:t>
      </w:r>
      <w:r>
        <w:t>øge dansk tilstedeværelse</w:t>
      </w:r>
      <w:r w:rsidR="00E25E10">
        <w:t xml:space="preserve"> i landet</w:t>
      </w:r>
      <w:r w:rsidR="00F5445D">
        <w:t>,</w:t>
      </w:r>
      <w:r>
        <w:t xml:space="preserve"> herunder i Mykolaiv. </w:t>
      </w:r>
      <w:r w:rsidR="00590CF4">
        <w:t xml:space="preserve">I tillæg </w:t>
      </w:r>
      <w:r w:rsidR="00E25E10">
        <w:t xml:space="preserve">hertil </w:t>
      </w:r>
      <w:r w:rsidR="00590CF4">
        <w:t xml:space="preserve">bidrager Danmark </w:t>
      </w:r>
      <w:r w:rsidR="00E25E10">
        <w:t xml:space="preserve">med </w:t>
      </w:r>
      <w:r w:rsidR="00590CF4">
        <w:t>betydelig investering i</w:t>
      </w:r>
      <w:r w:rsidR="0067268C">
        <w:t>ndenfor</w:t>
      </w:r>
      <w:r w:rsidR="00590CF4">
        <w:t xml:space="preserve"> anti-korruption </w:t>
      </w:r>
      <w:r w:rsidR="00F1258C">
        <w:t xml:space="preserve">i </w:t>
      </w:r>
      <w:r w:rsidR="0067268C">
        <w:t xml:space="preserve">form af </w:t>
      </w:r>
      <w:r w:rsidR="00F1258C">
        <w:t xml:space="preserve">et større samarbejde med EU </w:t>
      </w:r>
      <w:r w:rsidR="00590CF4">
        <w:t>til såvel imødegåelse som reform-arbejdet indenfor dette tema, der vil stå centralt i Ukraines EU-kandidatur</w:t>
      </w:r>
      <w:r w:rsidR="004C744A">
        <w:t xml:space="preserve"> (se også nedenstående afsnit 4.6)</w:t>
      </w:r>
      <w:r w:rsidR="00590CF4">
        <w:t xml:space="preserve">. </w:t>
      </w:r>
    </w:p>
    <w:p w:rsidR="0067268C" w:rsidRDefault="0067268C" w:rsidP="00395042">
      <w:pPr>
        <w:spacing w:after="0"/>
        <w:jc w:val="both"/>
      </w:pPr>
    </w:p>
    <w:p w:rsidR="003E2CA5" w:rsidRDefault="0067268C" w:rsidP="00395042">
      <w:pPr>
        <w:spacing w:after="0"/>
        <w:jc w:val="both"/>
      </w:pPr>
      <w:r>
        <w:t xml:space="preserve">En </w:t>
      </w:r>
      <w:r w:rsidR="003E2CA5">
        <w:t>’</w:t>
      </w:r>
      <w:r>
        <w:t>R</w:t>
      </w:r>
      <w:r w:rsidR="003E2CA5">
        <w:t>isk management matrix’ blive</w:t>
      </w:r>
      <w:r w:rsidR="008E4E0B">
        <w:t>r</w:t>
      </w:r>
      <w:r w:rsidR="003E2CA5">
        <w:t xml:space="preserve"> udviklet på strategisk niveau i programmeringsfasen</w:t>
      </w:r>
      <w:r w:rsidR="00AD0507">
        <w:t>, ligesom der vil blive udarbejdet</w:t>
      </w:r>
      <w:r w:rsidR="003E2CA5">
        <w:t xml:space="preserve"> ’risk matrixes’ for de enkelte projekter. Indsatserne i den danskstøttede genopbygningsindsats vil løbende blive tilpasset i forhold til scenarieudviklingen. Men trods den høje risiko</w:t>
      </w:r>
      <w:r w:rsidR="00AD0507">
        <w:t xml:space="preserve"> for</w:t>
      </w:r>
      <w:r w:rsidR="008E20E6">
        <w:t>,</w:t>
      </w:r>
      <w:r w:rsidR="00AD0507">
        <w:t xml:space="preserve"> </w:t>
      </w:r>
      <w:r w:rsidR="003E2CA5">
        <w:t xml:space="preserve">at dele af den danske bistand </w:t>
      </w:r>
      <w:r>
        <w:t xml:space="preserve">kan risikere </w:t>
      </w:r>
      <w:r w:rsidR="003E2CA5">
        <w:t xml:space="preserve">ikke </w:t>
      </w:r>
      <w:r>
        <w:t xml:space="preserve">at </w:t>
      </w:r>
      <w:r w:rsidR="003E2CA5">
        <w:t xml:space="preserve">opfylde de planlagte målsætninger, gennemføres støtten til genopbygning ud fra den danske regerings politiske prioritering </w:t>
      </w:r>
      <w:r w:rsidR="003B10F5">
        <w:t>af,</w:t>
      </w:r>
      <w:r w:rsidR="003E2CA5">
        <w:t xml:space="preserve"> at </w:t>
      </w:r>
      <w:r w:rsidR="003B10F5">
        <w:t xml:space="preserve">støtte Ukraine og </w:t>
      </w:r>
      <w:r w:rsidR="003E2CA5">
        <w:t>bidrage til at skabe de fysiske rammer for</w:t>
      </w:r>
      <w:r w:rsidR="00F5445D">
        <w:t>,</w:t>
      </w:r>
      <w:r w:rsidR="003E2CA5">
        <w:t xml:space="preserve"> at ukrainere kan forblive i</w:t>
      </w:r>
      <w:r w:rsidR="00AD0507">
        <w:t xml:space="preserve"> eller returnere til</w:t>
      </w:r>
      <w:r w:rsidR="003E2CA5">
        <w:t xml:space="preserve"> landet. </w:t>
      </w:r>
    </w:p>
    <w:p w:rsidR="00697DCD" w:rsidRDefault="00697DCD" w:rsidP="00395042">
      <w:pPr>
        <w:spacing w:after="0"/>
        <w:jc w:val="both"/>
      </w:pPr>
    </w:p>
    <w:p w:rsidR="003E2CA5" w:rsidRDefault="003E2CA5" w:rsidP="001C0886">
      <w:pPr>
        <w:pStyle w:val="Overskrift1"/>
        <w:numPr>
          <w:ilvl w:val="0"/>
          <w:numId w:val="25"/>
        </w:numPr>
      </w:pPr>
      <w:bookmarkStart w:id="14" w:name="_Toc133169471"/>
      <w:r>
        <w:t>Dansk målsætning og prioriteter samt hidtidig indsats</w:t>
      </w:r>
      <w:bookmarkEnd w:id="14"/>
      <w:r>
        <w:t xml:space="preserve"> </w:t>
      </w:r>
    </w:p>
    <w:p w:rsidR="00110A97" w:rsidRDefault="001C0886" w:rsidP="00395042">
      <w:pPr>
        <w:pStyle w:val="Overskrift2"/>
      </w:pPr>
      <w:bookmarkStart w:id="15" w:name="_Toc133169472"/>
      <w:r>
        <w:t>3</w:t>
      </w:r>
      <w:r w:rsidR="00110A97">
        <w:t>.1 Overordnet må</w:t>
      </w:r>
      <w:r w:rsidR="0088305F">
        <w:t>l</w:t>
      </w:r>
      <w:r w:rsidR="00110A97">
        <w:t xml:space="preserve"> og fem delmål</w:t>
      </w:r>
      <w:bookmarkEnd w:id="15"/>
    </w:p>
    <w:p w:rsidR="00E026E4" w:rsidRDefault="006D0FE5" w:rsidP="00700FE6">
      <w:pPr>
        <w:jc w:val="both"/>
      </w:pPr>
      <w:r w:rsidRPr="006D0FE5">
        <w:t xml:space="preserve">Den overordnede målsætning for </w:t>
      </w:r>
      <w:r>
        <w:t xml:space="preserve">den danske </w:t>
      </w:r>
      <w:r w:rsidR="008E20E6">
        <w:t>tidlige</w:t>
      </w:r>
      <w:r w:rsidR="00F276AE">
        <w:t xml:space="preserve"> </w:t>
      </w:r>
      <w:r>
        <w:t xml:space="preserve">genopbygningsbistand til Ukraine i 2023-24 er at </w:t>
      </w:r>
      <w:r w:rsidR="0088305F">
        <w:t>bidrage til at skabe</w:t>
      </w:r>
      <w:r>
        <w:t xml:space="preserve"> livsgrundlag for ukrainske borg</w:t>
      </w:r>
      <w:r w:rsidR="00CD30DC">
        <w:t xml:space="preserve">ere gennem genetablering af den nødvendige </w:t>
      </w:r>
      <w:r w:rsidR="004A29D6" w:rsidRPr="006D0FE5">
        <w:t>basal</w:t>
      </w:r>
      <w:r w:rsidR="00700FE6">
        <w:t>e</w:t>
      </w:r>
      <w:r w:rsidR="004A29D6" w:rsidRPr="006D0FE5">
        <w:t xml:space="preserve"> social</w:t>
      </w:r>
      <w:r w:rsidR="0067268C">
        <w:t>e</w:t>
      </w:r>
      <w:r w:rsidR="004A29D6" w:rsidRPr="006D0FE5">
        <w:t xml:space="preserve"> infrastruktur</w:t>
      </w:r>
      <w:r w:rsidR="00175A8C">
        <w:t xml:space="preserve"> samt </w:t>
      </w:r>
      <w:r w:rsidR="0067268C">
        <w:t xml:space="preserve">forbedring </w:t>
      </w:r>
      <w:r w:rsidR="00175A8C">
        <w:t>af</w:t>
      </w:r>
      <w:r w:rsidR="004A29D6" w:rsidRPr="006D0FE5">
        <w:t xml:space="preserve"> energi- og vandforsyning</w:t>
      </w:r>
      <w:r w:rsidR="00E026E4">
        <w:t xml:space="preserve"> og fremme privatsektordrevet økonomisk vækst og beskæftigelse, herunder </w:t>
      </w:r>
      <w:r w:rsidR="0067268C">
        <w:t xml:space="preserve">i </w:t>
      </w:r>
      <w:r w:rsidR="00E026E4">
        <w:t>landbruget.</w:t>
      </w:r>
    </w:p>
    <w:p w:rsidR="006D0FE5" w:rsidRPr="00B67074" w:rsidRDefault="006D0FE5" w:rsidP="00395042">
      <w:r w:rsidRPr="00B67074">
        <w:t>Indsatsen</w:t>
      </w:r>
      <w:r w:rsidR="00F276AE">
        <w:t xml:space="preserve"> </w:t>
      </w:r>
      <w:r w:rsidRPr="00B67074">
        <w:t>vil have fem delmål:</w:t>
      </w:r>
    </w:p>
    <w:p w:rsidR="00B67074" w:rsidRDefault="00B67074" w:rsidP="007C0427">
      <w:pPr>
        <w:pStyle w:val="Listeafsnit"/>
        <w:numPr>
          <w:ilvl w:val="0"/>
          <w:numId w:val="43"/>
        </w:numPr>
        <w:jc w:val="both"/>
      </w:pPr>
      <w:r w:rsidRPr="00B67074">
        <w:t>Bidrage til t</w:t>
      </w:r>
      <w:r w:rsidR="004A29D6" w:rsidRPr="00B67074">
        <w:t>idlig genetablering af nødvendig infrastruktur (basal social infrastruktur</w:t>
      </w:r>
      <w:r w:rsidR="00DB23F3">
        <w:t>,</w:t>
      </w:r>
      <w:r w:rsidR="004A29D6" w:rsidRPr="00B67074">
        <w:t xml:space="preserve"> genetablering af energi- og vandforsyning</w:t>
      </w:r>
      <w:r w:rsidR="00DB23F3">
        <w:t xml:space="preserve"> og boliger</w:t>
      </w:r>
      <w:r w:rsidRPr="00B67074">
        <w:t xml:space="preserve">) der, hvor muligt, planlægges, så det understøtter fremtidig </w:t>
      </w:r>
      <w:r w:rsidR="004A29D6" w:rsidRPr="00B67074">
        <w:t xml:space="preserve">bæredygtig genopbygning og vitaliseret </w:t>
      </w:r>
      <w:r w:rsidRPr="00B67074">
        <w:t>ukrainsk</w:t>
      </w:r>
      <w:r w:rsidR="004A29D6" w:rsidRPr="00B67074">
        <w:t xml:space="preserve"> erhver</w:t>
      </w:r>
      <w:r w:rsidRPr="00B67074">
        <w:t>v</w:t>
      </w:r>
      <w:r w:rsidR="004A29D6" w:rsidRPr="00B67074">
        <w:t>sliv</w:t>
      </w:r>
      <w:r w:rsidRPr="00B67074">
        <w:t xml:space="preserve"> og beskæftigelse</w:t>
      </w:r>
      <w:r w:rsidR="007C0427">
        <w:t>.</w:t>
      </w:r>
    </w:p>
    <w:p w:rsidR="00A01AEC" w:rsidRPr="00B67074" w:rsidRDefault="00A01AEC" w:rsidP="00395042">
      <w:pPr>
        <w:pStyle w:val="Listeafsnit"/>
      </w:pPr>
    </w:p>
    <w:p w:rsidR="00B67074" w:rsidRPr="00DB23F3" w:rsidRDefault="00DB23F3" w:rsidP="00395042">
      <w:pPr>
        <w:pStyle w:val="Listeafsnit"/>
        <w:rPr>
          <w:lang w:val="en-US"/>
        </w:rPr>
      </w:pPr>
      <w:r w:rsidRPr="00DB23F3">
        <w:rPr>
          <w:lang w:val="en-US"/>
        </w:rPr>
        <w:t>(SGD 11 ’</w:t>
      </w:r>
      <w:r>
        <w:rPr>
          <w:lang w:val="en-GB"/>
        </w:rPr>
        <w:t>Sustainable Cities and C</w:t>
      </w:r>
      <w:r w:rsidRPr="00DB23F3">
        <w:rPr>
          <w:lang w:val="en-GB"/>
        </w:rPr>
        <w:t>ommunities</w:t>
      </w:r>
      <w:r>
        <w:rPr>
          <w:lang w:val="en-GB"/>
        </w:rPr>
        <w:t>’</w:t>
      </w:r>
      <w:r w:rsidR="00A01AEC" w:rsidRPr="00DB23F3">
        <w:rPr>
          <w:lang w:val="en-US"/>
        </w:rPr>
        <w:t>)</w:t>
      </w:r>
    </w:p>
    <w:p w:rsidR="00DB23F3" w:rsidRPr="00DB23F3" w:rsidRDefault="00DB23F3" w:rsidP="00395042">
      <w:pPr>
        <w:pStyle w:val="Listeafsnit"/>
        <w:rPr>
          <w:lang w:val="en-US"/>
        </w:rPr>
      </w:pPr>
    </w:p>
    <w:p w:rsidR="004A29D6" w:rsidRDefault="004A29D6" w:rsidP="00395042">
      <w:pPr>
        <w:pStyle w:val="Listeafsnit"/>
        <w:numPr>
          <w:ilvl w:val="0"/>
          <w:numId w:val="43"/>
        </w:numPr>
      </w:pPr>
      <w:r w:rsidRPr="00B67074">
        <w:t xml:space="preserve">Bidrage til langsigtet grøn </w:t>
      </w:r>
      <w:r w:rsidR="00B67074" w:rsidRPr="00B67074">
        <w:t>energiomstilling</w:t>
      </w:r>
      <w:r w:rsidR="00DB23F3">
        <w:t>, herunder energieffektivitet og fremme a</w:t>
      </w:r>
      <w:r w:rsidR="008F3A84">
        <w:t>f</w:t>
      </w:r>
      <w:r w:rsidR="00DB23F3">
        <w:t xml:space="preserve"> </w:t>
      </w:r>
      <w:r w:rsidR="008F3A84">
        <w:t xml:space="preserve">anvendelsen af </w:t>
      </w:r>
      <w:r w:rsidR="00DB23F3">
        <w:t>vedvarende energi.</w:t>
      </w:r>
    </w:p>
    <w:p w:rsidR="00B67074" w:rsidRDefault="00B67074" w:rsidP="00395042">
      <w:pPr>
        <w:pStyle w:val="Listeafsnit"/>
        <w:spacing w:after="0"/>
      </w:pPr>
    </w:p>
    <w:p w:rsidR="00B67074" w:rsidRDefault="00B67074" w:rsidP="00395042">
      <w:pPr>
        <w:pStyle w:val="Listeafsnit"/>
        <w:spacing w:after="0"/>
        <w:rPr>
          <w:rFonts w:cs="Metro Serif Light"/>
          <w:color w:val="000000"/>
          <w:lang w:val="en-US"/>
        </w:rPr>
      </w:pPr>
      <w:r>
        <w:rPr>
          <w:rFonts w:cs="Metro Serif Light"/>
          <w:color w:val="000000"/>
          <w:lang w:val="en-US"/>
        </w:rPr>
        <w:lastRenderedPageBreak/>
        <w:t>(</w:t>
      </w:r>
      <w:r w:rsidRPr="00B67074">
        <w:rPr>
          <w:rFonts w:cs="Metro Serif Light"/>
          <w:color w:val="000000"/>
          <w:lang w:val="en-US"/>
        </w:rPr>
        <w:t xml:space="preserve">SDG </w:t>
      </w:r>
      <w:r>
        <w:rPr>
          <w:rFonts w:cs="Metro Serif Light"/>
          <w:color w:val="000000"/>
          <w:lang w:val="en-US"/>
        </w:rPr>
        <w:t xml:space="preserve">7 ‘Affordable and Clean Energy’ og </w:t>
      </w:r>
      <w:r w:rsidRPr="00B67074">
        <w:rPr>
          <w:rFonts w:cs="Metro Serif Light"/>
          <w:color w:val="000000"/>
          <w:lang w:val="en-US"/>
        </w:rPr>
        <w:t>SDG 13 ‘Mitigate Climate Change Impact’</w:t>
      </w:r>
      <w:r>
        <w:rPr>
          <w:rFonts w:cs="Metro Serif Light"/>
          <w:color w:val="000000"/>
          <w:lang w:val="en-US"/>
        </w:rPr>
        <w:t>)</w:t>
      </w:r>
    </w:p>
    <w:p w:rsidR="00DB23F3" w:rsidRPr="00B67074" w:rsidRDefault="00DB23F3" w:rsidP="00395042">
      <w:pPr>
        <w:pStyle w:val="Listeafsnit"/>
        <w:spacing w:after="0"/>
        <w:rPr>
          <w:lang w:val="en-US"/>
        </w:rPr>
      </w:pPr>
    </w:p>
    <w:p w:rsidR="004A29D6" w:rsidRPr="00B67074" w:rsidRDefault="004A29D6" w:rsidP="00395042">
      <w:pPr>
        <w:pStyle w:val="Listeafsnit"/>
        <w:numPr>
          <w:ilvl w:val="0"/>
          <w:numId w:val="43"/>
        </w:numPr>
        <w:spacing w:before="240"/>
      </w:pPr>
      <w:r w:rsidRPr="00B67074">
        <w:rPr>
          <w:rFonts w:eastAsiaTheme="minorEastAsia"/>
          <w:lang w:eastAsia="da-DK"/>
        </w:rPr>
        <w:t xml:space="preserve">Bidrage til genetablering af den ukrainske økonomi og herunder jobskabelse – inkl. </w:t>
      </w:r>
      <w:r w:rsidR="007F69ED">
        <w:rPr>
          <w:rFonts w:eastAsiaTheme="minorEastAsia"/>
          <w:lang w:eastAsia="da-DK"/>
        </w:rPr>
        <w:t xml:space="preserve">på </w:t>
      </w:r>
      <w:r w:rsidRPr="00B67074">
        <w:rPr>
          <w:rFonts w:eastAsiaTheme="minorEastAsia"/>
          <w:lang w:eastAsia="da-DK"/>
        </w:rPr>
        <w:t>landbrug</w:t>
      </w:r>
      <w:r w:rsidR="007F69ED">
        <w:rPr>
          <w:rFonts w:eastAsiaTheme="minorEastAsia"/>
          <w:lang w:eastAsia="da-DK"/>
        </w:rPr>
        <w:t>sområdet.</w:t>
      </w:r>
    </w:p>
    <w:p w:rsidR="00B67074" w:rsidRDefault="00B67074" w:rsidP="00395042">
      <w:pPr>
        <w:pStyle w:val="Listeafsnit"/>
        <w:spacing w:after="0"/>
      </w:pPr>
    </w:p>
    <w:p w:rsidR="00A01AEC" w:rsidRDefault="00A01AEC" w:rsidP="00395042">
      <w:pPr>
        <w:pStyle w:val="Listeafsnit"/>
        <w:rPr>
          <w:rFonts w:cs="Metro Serif Light"/>
          <w:color w:val="000000"/>
          <w:lang w:val="en-US"/>
        </w:rPr>
      </w:pPr>
      <w:r>
        <w:rPr>
          <w:rFonts w:cs="Metro Serif Light"/>
          <w:color w:val="000000"/>
          <w:lang w:val="en-US"/>
        </w:rPr>
        <w:t>(</w:t>
      </w:r>
      <w:r w:rsidRPr="00F8661B">
        <w:rPr>
          <w:rFonts w:cs="Metro Serif Light"/>
          <w:color w:val="000000"/>
          <w:lang w:val="en-US"/>
        </w:rPr>
        <w:t xml:space="preserve">SDG 8 </w:t>
      </w:r>
      <w:r>
        <w:rPr>
          <w:rFonts w:cs="Metro Serif Light"/>
          <w:color w:val="000000"/>
          <w:lang w:val="en-US"/>
        </w:rPr>
        <w:t>‘</w:t>
      </w:r>
      <w:r w:rsidRPr="00F8661B">
        <w:rPr>
          <w:rFonts w:cs="Metro Serif Light"/>
          <w:color w:val="000000"/>
          <w:lang w:val="en-US"/>
        </w:rPr>
        <w:t>Decent Work and Economic G</w:t>
      </w:r>
      <w:r>
        <w:rPr>
          <w:rFonts w:cs="Metro Serif Light"/>
          <w:color w:val="000000"/>
          <w:lang w:val="en-US"/>
        </w:rPr>
        <w:t>rowth’</w:t>
      </w:r>
      <w:r w:rsidR="00DB23F3">
        <w:rPr>
          <w:rFonts w:cs="Metro Serif Light"/>
          <w:color w:val="000000"/>
          <w:lang w:val="en-US"/>
        </w:rPr>
        <w:t xml:space="preserve"> og</w:t>
      </w:r>
      <w:r>
        <w:rPr>
          <w:rFonts w:cs="Metro Serif Light"/>
          <w:color w:val="000000"/>
          <w:lang w:val="en-US"/>
        </w:rPr>
        <w:t xml:space="preserve"> </w:t>
      </w:r>
      <w:r w:rsidR="00B67074" w:rsidRPr="00B67074">
        <w:rPr>
          <w:rFonts w:cs="Metro Serif Light"/>
          <w:color w:val="000000"/>
          <w:lang w:val="en-US"/>
        </w:rPr>
        <w:t>SDG 12 ‘Sustainable Production and Consumption</w:t>
      </w:r>
      <w:r>
        <w:rPr>
          <w:rFonts w:cs="Metro Serif Light"/>
          <w:color w:val="000000"/>
          <w:lang w:val="en-US"/>
        </w:rPr>
        <w:t>)</w:t>
      </w:r>
    </w:p>
    <w:p w:rsidR="00A01AEC" w:rsidRPr="00A01AEC" w:rsidRDefault="00A01AEC" w:rsidP="00395042">
      <w:pPr>
        <w:pStyle w:val="Listeafsnit"/>
        <w:spacing w:after="0"/>
        <w:jc w:val="both"/>
        <w:rPr>
          <w:u w:val="single"/>
          <w:lang w:val="en-US"/>
        </w:rPr>
      </w:pPr>
    </w:p>
    <w:p w:rsidR="004A29D6" w:rsidRPr="00A01AEC" w:rsidRDefault="00E4373A" w:rsidP="00395042">
      <w:pPr>
        <w:pStyle w:val="Listeafsnit"/>
        <w:numPr>
          <w:ilvl w:val="0"/>
          <w:numId w:val="43"/>
        </w:numPr>
        <w:spacing w:after="0"/>
        <w:jc w:val="both"/>
        <w:rPr>
          <w:u w:val="single"/>
        </w:rPr>
      </w:pPr>
      <w:r w:rsidRPr="00E4373A">
        <w:t>B</w:t>
      </w:r>
      <w:r w:rsidR="004A29D6" w:rsidRPr="00B67074">
        <w:t>idrage til etablering af mekanismer og procedurer</w:t>
      </w:r>
      <w:r w:rsidR="007F69ED">
        <w:t xml:space="preserve">, der sikrer </w:t>
      </w:r>
      <w:r w:rsidR="008F3A84">
        <w:t>transp</w:t>
      </w:r>
      <w:r w:rsidR="007F69ED">
        <w:t>a</w:t>
      </w:r>
      <w:r w:rsidR="008F3A84">
        <w:t>r</w:t>
      </w:r>
      <w:r w:rsidR="007F69ED">
        <w:t>e</w:t>
      </w:r>
      <w:r w:rsidR="008F3A84">
        <w:t>ns</w:t>
      </w:r>
      <w:r w:rsidR="004A29D6" w:rsidRPr="00B67074">
        <w:t xml:space="preserve"> i genopbygningen – samt </w:t>
      </w:r>
      <w:r w:rsidR="007F69ED">
        <w:t xml:space="preserve">fremmer </w:t>
      </w:r>
      <w:r w:rsidR="004A29D6" w:rsidRPr="00B67074">
        <w:t>folkelig deltagelse</w:t>
      </w:r>
      <w:r>
        <w:t>, demokratisk kontrol</w:t>
      </w:r>
      <w:r w:rsidR="004A29D6" w:rsidRPr="00B67074">
        <w:t xml:space="preserve"> og god lokal regeringsførelse</w:t>
      </w:r>
      <w:r w:rsidR="007F69ED">
        <w:t>.</w:t>
      </w:r>
    </w:p>
    <w:p w:rsidR="00A01AEC" w:rsidRDefault="00A01AEC" w:rsidP="00395042">
      <w:pPr>
        <w:spacing w:after="0"/>
        <w:jc w:val="both"/>
        <w:rPr>
          <w:u w:val="single"/>
        </w:rPr>
      </w:pPr>
    </w:p>
    <w:p w:rsidR="00A01AEC" w:rsidRPr="00A60F69" w:rsidRDefault="00A01AEC" w:rsidP="00395042">
      <w:pPr>
        <w:spacing w:after="0"/>
        <w:ind w:left="720"/>
        <w:rPr>
          <w:lang w:val="en-US"/>
        </w:rPr>
      </w:pPr>
      <w:r>
        <w:rPr>
          <w:rFonts w:cs="Metro Serif Light"/>
          <w:color w:val="000000"/>
          <w:lang w:val="en-US"/>
        </w:rPr>
        <w:t>(</w:t>
      </w:r>
      <w:r w:rsidRPr="00A60F69">
        <w:rPr>
          <w:rFonts w:cs="Metro Serif Light"/>
          <w:color w:val="000000"/>
          <w:lang w:val="en-US"/>
        </w:rPr>
        <w:t xml:space="preserve">SDG 5 </w:t>
      </w:r>
      <w:r>
        <w:rPr>
          <w:rFonts w:cs="Metro Serif Light"/>
          <w:color w:val="000000"/>
          <w:lang w:val="en-US"/>
        </w:rPr>
        <w:t>‘</w:t>
      </w:r>
      <w:r w:rsidRPr="00A01AEC">
        <w:rPr>
          <w:rFonts w:cs="Metro Serif Light"/>
          <w:color w:val="000000"/>
          <w:lang w:val="en-US"/>
        </w:rPr>
        <w:t xml:space="preserve">Gender Equality’, SDG 11 </w:t>
      </w:r>
      <w:r w:rsidRPr="00A01AEC">
        <w:rPr>
          <w:rFonts w:cs="Metro Serif Light"/>
          <w:b/>
          <w:color w:val="000000"/>
          <w:lang w:val="en-US"/>
        </w:rPr>
        <w:t>‘</w:t>
      </w:r>
      <w:r w:rsidRPr="00A01AEC">
        <w:rPr>
          <w:rStyle w:val="Strk"/>
          <w:rFonts w:cs="Arial"/>
          <w:b w:val="0"/>
          <w:color w:val="111111"/>
          <w:shd w:val="clear" w:color="auto" w:fill="FFFFFF"/>
          <w:lang w:val="en-US"/>
        </w:rPr>
        <w:t>Sustainable, Safe and Inclusive Cities and Communities’</w:t>
      </w:r>
      <w:r w:rsidRPr="00A01AEC">
        <w:rPr>
          <w:rFonts w:cs="Metro Serif Light"/>
          <w:color w:val="000000"/>
          <w:lang w:val="en-US"/>
        </w:rPr>
        <w:t xml:space="preserve"> og SDG 16 ‘Peace, Justice and Strong Institutions’.</w:t>
      </w:r>
      <w:r>
        <w:rPr>
          <w:rFonts w:cs="Metro Serif Light"/>
          <w:color w:val="000000"/>
          <w:lang w:val="en-US"/>
        </w:rPr>
        <w:t>)</w:t>
      </w:r>
    </w:p>
    <w:p w:rsidR="00A01AEC" w:rsidRPr="00A01AEC" w:rsidRDefault="00A01AEC" w:rsidP="00395042">
      <w:pPr>
        <w:spacing w:after="0"/>
        <w:jc w:val="both"/>
        <w:rPr>
          <w:u w:val="single"/>
          <w:lang w:val="en-US"/>
        </w:rPr>
      </w:pPr>
    </w:p>
    <w:p w:rsidR="004A29D6" w:rsidRPr="00294A28" w:rsidRDefault="00E4373A" w:rsidP="00395042">
      <w:pPr>
        <w:pStyle w:val="Listeafsnit"/>
        <w:numPr>
          <w:ilvl w:val="0"/>
          <w:numId w:val="43"/>
        </w:numPr>
        <w:spacing w:after="0"/>
        <w:jc w:val="both"/>
        <w:rPr>
          <w:u w:val="single"/>
        </w:rPr>
      </w:pPr>
      <w:r w:rsidRPr="00E4373A">
        <w:t>F</w:t>
      </w:r>
      <w:r w:rsidR="004A29D6" w:rsidRPr="00B67074">
        <w:t xml:space="preserve">remme dansk-ukrainsk samarbejde og </w:t>
      </w:r>
      <w:r>
        <w:t>en ’</w:t>
      </w:r>
      <w:r w:rsidR="004A29D6" w:rsidRPr="00B67074">
        <w:t>Whole of Denmark Approach</w:t>
      </w:r>
      <w:r>
        <w:t>’</w:t>
      </w:r>
      <w:r w:rsidR="004A29D6" w:rsidRPr="00B67074">
        <w:t xml:space="preserve"> </w:t>
      </w:r>
      <w:r w:rsidR="007F69ED">
        <w:t xml:space="preserve">baseret på </w:t>
      </w:r>
      <w:r>
        <w:t xml:space="preserve">en </w:t>
      </w:r>
      <w:r w:rsidR="00294A28">
        <w:t>b</w:t>
      </w:r>
      <w:r>
        <w:t>red</w:t>
      </w:r>
      <w:r w:rsidR="004A29D6" w:rsidRPr="00B67074">
        <w:t xml:space="preserve"> mobilisering</w:t>
      </w:r>
      <w:r w:rsidR="004A29D6">
        <w:t xml:space="preserve"> </w:t>
      </w:r>
      <w:r>
        <w:t xml:space="preserve">af </w:t>
      </w:r>
      <w:r w:rsidR="007F69ED">
        <w:t xml:space="preserve">danske </w:t>
      </w:r>
      <w:r>
        <w:t xml:space="preserve">offentlige, private og frivillige aktører i arbejdet med at yde </w:t>
      </w:r>
      <w:r w:rsidR="00101FBE">
        <w:t xml:space="preserve">generel </w:t>
      </w:r>
      <w:r w:rsidR="004A29D6">
        <w:t xml:space="preserve">bistand til Ukraine og </w:t>
      </w:r>
      <w:r w:rsidR="00101FBE">
        <w:t>til u</w:t>
      </w:r>
      <w:r w:rsidR="004A29D6">
        <w:t>krainske genopbygning.</w:t>
      </w:r>
    </w:p>
    <w:p w:rsidR="00A01AEC" w:rsidRPr="00A01AEC" w:rsidRDefault="00A01AEC" w:rsidP="00395042">
      <w:pPr>
        <w:spacing w:after="0"/>
        <w:ind w:left="720"/>
        <w:jc w:val="both"/>
        <w:rPr>
          <w:rFonts w:cs="Metro Serif Light"/>
          <w:color w:val="000000"/>
        </w:rPr>
      </w:pPr>
      <w:r w:rsidRPr="00A01AEC">
        <w:rPr>
          <w:rFonts w:cs="Metro Serif Light"/>
          <w:color w:val="000000"/>
        </w:rPr>
        <w:t xml:space="preserve">   </w:t>
      </w:r>
    </w:p>
    <w:p w:rsidR="00A01AEC" w:rsidRPr="00A01AEC" w:rsidRDefault="00A01AEC" w:rsidP="00395042">
      <w:pPr>
        <w:spacing w:after="0"/>
        <w:ind w:left="720"/>
        <w:jc w:val="both"/>
        <w:rPr>
          <w:u w:val="single"/>
          <w:lang w:val="en-US"/>
        </w:rPr>
      </w:pPr>
      <w:r>
        <w:rPr>
          <w:rFonts w:cs="Metro Serif Light"/>
          <w:color w:val="000000"/>
          <w:lang w:val="en-US"/>
        </w:rPr>
        <w:t>(SDG 17 ‘Partnership for Sustainable Development’)</w:t>
      </w:r>
    </w:p>
    <w:p w:rsidR="00767B56" w:rsidRPr="00A01AEC" w:rsidRDefault="00767B56" w:rsidP="00395042">
      <w:pPr>
        <w:spacing w:after="0"/>
        <w:rPr>
          <w:lang w:val="en-US"/>
        </w:rPr>
      </w:pPr>
    </w:p>
    <w:p w:rsidR="006C5ABE" w:rsidRPr="00644D84" w:rsidRDefault="00B81EC0" w:rsidP="00644D84">
      <w:pPr>
        <w:spacing w:after="0"/>
        <w:jc w:val="both"/>
      </w:pPr>
      <w:r w:rsidRPr="00644D84">
        <w:t>Målopfyldelse vil ske gennem indsatser under genopbygningsbistanden men</w:t>
      </w:r>
      <w:r w:rsidR="00F276AE">
        <w:t xml:space="preserve"> disse vil</w:t>
      </w:r>
      <w:r w:rsidRPr="00644D84">
        <w:t>, særligt hvad angår mål IV og V</w:t>
      </w:r>
      <w:r w:rsidR="00E84011" w:rsidRPr="00644D84">
        <w:t>,</w:t>
      </w:r>
      <w:r w:rsidRPr="00644D84">
        <w:t xml:space="preserve"> blive komplementeret og understøttet af indsatserne under Nab</w:t>
      </w:r>
      <w:r w:rsidR="00E84011" w:rsidRPr="00644D84">
        <w:t>oskabsprogrammets indsatser på r</w:t>
      </w:r>
      <w:r w:rsidRPr="00644D84">
        <w:t>eform og demokratiom</w:t>
      </w:r>
      <w:r w:rsidR="00E84011" w:rsidRPr="00644D84">
        <w:t>rå</w:t>
      </w:r>
      <w:r w:rsidRPr="00644D84">
        <w:t xml:space="preserve">det – og hvad angår mål II blive komplementeret og understøttet af det </w:t>
      </w:r>
      <w:r w:rsidR="00101FBE">
        <w:t xml:space="preserve">igangværende </w:t>
      </w:r>
      <w:r w:rsidRPr="00644D84">
        <w:t xml:space="preserve">langsigtede twinning-samarbejde mellem det </w:t>
      </w:r>
      <w:r w:rsidR="00101FBE">
        <w:t>u</w:t>
      </w:r>
      <w:r w:rsidRPr="00644D84">
        <w:t>krainske Energiministerium og den danske Energistyrelse under Naboskabsprogrammes spor for grøn omstilling og energi.</w:t>
      </w:r>
    </w:p>
    <w:p w:rsidR="00B81EC0" w:rsidRDefault="00B81EC0" w:rsidP="00644D84">
      <w:pPr>
        <w:spacing w:after="0"/>
        <w:jc w:val="both"/>
        <w:rPr>
          <w:u w:val="single"/>
        </w:rPr>
      </w:pPr>
    </w:p>
    <w:p w:rsidR="003E2CA5" w:rsidRDefault="001C0886" w:rsidP="00395042">
      <w:pPr>
        <w:pStyle w:val="Overskrift2"/>
      </w:pPr>
      <w:bookmarkStart w:id="16" w:name="_Toc133169473"/>
      <w:r>
        <w:t>3</w:t>
      </w:r>
      <w:r w:rsidR="004A29D6">
        <w:t>.</w:t>
      </w:r>
      <w:r w:rsidR="00294A28">
        <w:t>2</w:t>
      </w:r>
      <w:r w:rsidR="004A29D6">
        <w:t xml:space="preserve"> </w:t>
      </w:r>
      <w:r w:rsidR="00711F81">
        <w:t>Hidtidig indsats</w:t>
      </w:r>
      <w:bookmarkEnd w:id="16"/>
      <w:r w:rsidR="003E2CA5">
        <w:t xml:space="preserve"> </w:t>
      </w:r>
    </w:p>
    <w:p w:rsidR="007408C2" w:rsidRDefault="002505DA" w:rsidP="00987E2F">
      <w:pPr>
        <w:spacing w:after="0"/>
        <w:jc w:val="both"/>
      </w:pPr>
      <w:r>
        <w:t xml:space="preserve">Siden september 2023 har Danmark i samarbejde med </w:t>
      </w:r>
      <w:r w:rsidR="007F69ED">
        <w:t xml:space="preserve">en række </w:t>
      </w:r>
      <w:r>
        <w:t xml:space="preserve">danske </w:t>
      </w:r>
      <w:r w:rsidR="007F69ED">
        <w:t xml:space="preserve">og internationale </w:t>
      </w:r>
      <w:r>
        <w:t>organisationer ydet støtte til Mykolaiv med henblik på bygningsistandsættelse</w:t>
      </w:r>
      <w:r w:rsidR="00AE1D10">
        <w:t xml:space="preserve"> og sikring af </w:t>
      </w:r>
      <w:r>
        <w:t xml:space="preserve">energi- og vandforsyning. Målet har været at hjælpe Mykolaiv med helt </w:t>
      </w:r>
      <w:r w:rsidR="00DB7193">
        <w:t>basale behov for byens og regionens indbyggere.</w:t>
      </w:r>
      <w:r w:rsidR="00AE1D10">
        <w:t xml:space="preserve"> Støtten har i </w:t>
      </w:r>
      <w:r w:rsidR="00DB7193">
        <w:t>overvejende</w:t>
      </w:r>
      <w:r w:rsidR="00AE1D10">
        <w:t xml:space="preserve"> </w:t>
      </w:r>
      <w:r w:rsidR="00101FBE">
        <w:t xml:space="preserve">grad </w:t>
      </w:r>
      <w:r w:rsidR="00AE1D10">
        <w:t>omfatte leverancer af udstyr (</w:t>
      </w:r>
      <w:r w:rsidR="00D730D3">
        <w:t xml:space="preserve">f.eks. </w:t>
      </w:r>
      <w:r w:rsidR="00AE1D10">
        <w:t>bygningsmaterialer, rør, pumper og varmekedler), som de lokale myndigheder s</w:t>
      </w:r>
      <w:r w:rsidR="00DB7193">
        <w:t>elv</w:t>
      </w:r>
      <w:r w:rsidR="00AE1D10">
        <w:t xml:space="preserve"> har installeret og fordelt. Denne tilgang blev valgt, </w:t>
      </w:r>
      <w:r w:rsidR="008739DD">
        <w:t>da</w:t>
      </w:r>
      <w:r w:rsidR="00AE1D10">
        <w:t xml:space="preserve"> Mykolaiv by som udgangsp</w:t>
      </w:r>
      <w:r w:rsidR="00DB7193">
        <w:t>unkt</w:t>
      </w:r>
      <w:r w:rsidR="00AE1D10">
        <w:t xml:space="preserve"> ikke var tilgængelig for internationale organisationer pga</w:t>
      </w:r>
      <w:r w:rsidR="00D730D3">
        <w:t>.</w:t>
      </w:r>
      <w:r w:rsidR="00AE1D10">
        <w:t xml:space="preserve"> krigshandlinger. </w:t>
      </w:r>
      <w:r w:rsidR="001A075C">
        <w:t>Tilgangen betød, at de</w:t>
      </w:r>
      <w:r w:rsidR="007408C2">
        <w:t xml:space="preserve"> lokale myndigheder i Mykolaiv </w:t>
      </w:r>
      <w:r w:rsidR="001A075C">
        <w:t xml:space="preserve">fik en central og styrende rolle, og </w:t>
      </w:r>
      <w:r w:rsidR="007408C2">
        <w:t>identificere</w:t>
      </w:r>
      <w:r w:rsidR="001A075C">
        <w:t>de</w:t>
      </w:r>
      <w:r w:rsidR="007408C2">
        <w:t xml:space="preserve"> og prioritere</w:t>
      </w:r>
      <w:r w:rsidR="001A075C">
        <w:t>de</w:t>
      </w:r>
      <w:r w:rsidR="007408C2">
        <w:t xml:space="preserve"> behov i meget direkte dialog med den danske ambassade og </w:t>
      </w:r>
      <w:r w:rsidR="001A075C">
        <w:t>en danskstøttet</w:t>
      </w:r>
      <w:r w:rsidR="007408C2">
        <w:t xml:space="preserve"> tekniske enhed</w:t>
      </w:r>
      <w:r w:rsidR="001A075C">
        <w:t xml:space="preserve"> med repræsentation i Mykolaiv og Kyiv. </w:t>
      </w:r>
      <w:r w:rsidR="007408C2">
        <w:t xml:space="preserve">Støtten har været meget værdsat lokalt og </w:t>
      </w:r>
      <w:r w:rsidR="001A075C">
        <w:t xml:space="preserve">synligt </w:t>
      </w:r>
      <w:r w:rsidR="007408C2">
        <w:t xml:space="preserve">bidraget til nødreparation af bygninger og levering af vand, varme og el. </w:t>
      </w:r>
    </w:p>
    <w:p w:rsidR="007408C2" w:rsidRDefault="007408C2" w:rsidP="00987E2F">
      <w:pPr>
        <w:spacing w:after="0"/>
        <w:jc w:val="both"/>
      </w:pPr>
    </w:p>
    <w:p w:rsidR="00A2461F" w:rsidRDefault="00A2461F" w:rsidP="001D6901">
      <w:pPr>
        <w:pStyle w:val="Listeafsnit"/>
        <w:spacing w:after="0"/>
        <w:ind w:left="0"/>
        <w:jc w:val="both"/>
      </w:pPr>
      <w:r>
        <w:t>I kølvandet på invasionen blev de</w:t>
      </w:r>
      <w:r w:rsidR="001D6901">
        <w:t xml:space="preserve">t </w:t>
      </w:r>
      <w:r>
        <w:t>dansk-ukrainske myndighedssamarbejde på energiområde</w:t>
      </w:r>
      <w:r w:rsidR="001D6901">
        <w:t>t</w:t>
      </w:r>
      <w:r>
        <w:t xml:space="preserve"> nedjusteret nogle måneder, men er siden september 2022 genoptaget og justeret i forhold til situationen </w:t>
      </w:r>
      <w:r w:rsidRPr="001D6901">
        <w:t xml:space="preserve">i landet. Det ukrainske </w:t>
      </w:r>
      <w:r w:rsidR="00A72018" w:rsidRPr="001D6901">
        <w:t>e</w:t>
      </w:r>
      <w:r w:rsidRPr="001D6901">
        <w:t xml:space="preserve">nergiministerium har sammen med EU’s energikommissær fra efteråret 2022 løbende </w:t>
      </w:r>
      <w:r w:rsidR="00167590" w:rsidRPr="001D6901">
        <w:t xml:space="preserve">orienteret donorlandene </w:t>
      </w:r>
      <w:r w:rsidRPr="001D6901">
        <w:t>om de akutte behov for at sikre den ukrainske energiforsyning</w:t>
      </w:r>
      <w:r w:rsidR="007076CF">
        <w:t>.</w:t>
      </w:r>
      <w:r w:rsidR="00167590" w:rsidRPr="001D6901">
        <w:t xml:space="preserve"> D</w:t>
      </w:r>
      <w:r w:rsidRPr="001D6901">
        <w:t xml:space="preserve">anske leverancer af reservedele og udstyr (f.eks. pumper) har taget afsæt i disse anmodninger. Donationer af udstyr har – </w:t>
      </w:r>
      <w:r w:rsidR="00167590" w:rsidRPr="001D6901">
        <w:t xml:space="preserve">selv </w:t>
      </w:r>
      <w:r w:rsidR="00101FBE">
        <w:t>mindre leverancer</w:t>
      </w:r>
      <w:r w:rsidRPr="001D6901">
        <w:t xml:space="preserve"> - været værdsat. </w:t>
      </w:r>
    </w:p>
    <w:p w:rsidR="00644D84" w:rsidRDefault="00644D84">
      <w:r>
        <w:br w:type="page"/>
      </w:r>
    </w:p>
    <w:p w:rsidR="00633F63" w:rsidRDefault="00633F63" w:rsidP="00395042">
      <w:pPr>
        <w:pStyle w:val="Overskrift1"/>
        <w:numPr>
          <w:ilvl w:val="0"/>
          <w:numId w:val="9"/>
        </w:numPr>
      </w:pPr>
      <w:bookmarkStart w:id="17" w:name="_Toc133169474"/>
      <w:r>
        <w:lastRenderedPageBreak/>
        <w:t xml:space="preserve">Dansk støtte til genopbygning </w:t>
      </w:r>
      <w:r w:rsidR="005821D2">
        <w:t xml:space="preserve">i Ukraine </w:t>
      </w:r>
      <w:r>
        <w:t>2023-24</w:t>
      </w:r>
      <w:bookmarkEnd w:id="17"/>
      <w:r w:rsidR="005821D2">
        <w:t xml:space="preserve"> </w:t>
      </w:r>
    </w:p>
    <w:p w:rsidR="00CA5D52" w:rsidRDefault="00CA5D52" w:rsidP="00395042">
      <w:pPr>
        <w:pStyle w:val="Overskrift2"/>
        <w:numPr>
          <w:ilvl w:val="1"/>
          <w:numId w:val="9"/>
        </w:numPr>
      </w:pPr>
      <w:bookmarkStart w:id="18" w:name="_Toc133169475"/>
      <w:r>
        <w:t>Strategiske principper</w:t>
      </w:r>
      <w:bookmarkEnd w:id="18"/>
    </w:p>
    <w:p w:rsidR="003453F6" w:rsidRDefault="00FD1558" w:rsidP="00CF6D4F">
      <w:pPr>
        <w:jc w:val="both"/>
      </w:pPr>
      <w:r>
        <w:t>En række overordnede strategiske principper for genopbygningsbistanden er allerede fastlagt af den ukrainske regering og det internationale samfund.</w:t>
      </w:r>
      <w:r w:rsidR="001D6901">
        <w:t xml:space="preserve"> A</w:t>
      </w:r>
      <w:r w:rsidR="003453F6">
        <w:t>fsættet for den ukrainske regerings Recovery Plan er at starte genopbygningen hvor muligt og derefter gradvist udvide indsatsen i takt med</w:t>
      </w:r>
      <w:r w:rsidR="00101FBE">
        <w:t>,</w:t>
      </w:r>
      <w:r w:rsidR="003453F6">
        <w:t xml:space="preserve"> situationen tilsiger det. Planen beror på principperne om at fremme velstand og vækst med øje for mere lige fordeling, fremme integrationen med EU’s standarder og stabilt følge tilnærmelsesprocessen, </w:t>
      </w:r>
      <w:r w:rsidR="0068791C">
        <w:t xml:space="preserve">realisere </w:t>
      </w:r>
      <w:r w:rsidR="003453F6">
        <w:t>beslutningen om at ”build back better</w:t>
      </w:r>
      <w:r w:rsidR="002E74A0">
        <w:t xml:space="preserve"> and greener</w:t>
      </w:r>
      <w:r w:rsidR="003453F6">
        <w:t>” samt skabe gode vilkår for private investeringer og</w:t>
      </w:r>
      <w:r w:rsidR="00424182">
        <w:t xml:space="preserve"> udvikling af den private sektor</w:t>
      </w:r>
      <w:r w:rsidR="003453F6">
        <w:t xml:space="preserve">.   </w:t>
      </w:r>
    </w:p>
    <w:p w:rsidR="005E126F" w:rsidRDefault="003453F6" w:rsidP="00395042">
      <w:pPr>
        <w:jc w:val="both"/>
      </w:pPr>
      <w:r w:rsidRPr="00D857DA">
        <w:t>“Lugano Declaration for the Reconstruction of Ukraine” fra juli 2022 identificerer flere principper for land</w:t>
      </w:r>
      <w:r>
        <w:t>et</w:t>
      </w:r>
      <w:r w:rsidRPr="00D857DA">
        <w:t>s genopbygningsproces. Disse omfatter partnerskab, reformfokus, transparen</w:t>
      </w:r>
      <w:r>
        <w:t>s</w:t>
      </w:r>
      <w:r w:rsidRPr="00D857DA">
        <w:t xml:space="preserve">, </w:t>
      </w:r>
      <w:r>
        <w:t xml:space="preserve">økonomisk </w:t>
      </w:r>
      <w:r w:rsidRPr="00D857DA">
        <w:t xml:space="preserve">ansvarlighed, </w:t>
      </w:r>
      <w:r>
        <w:t>retsstatsprincipper, demokratisk deltagelse, involvering af en bred vifte af aktører, liges</w:t>
      </w:r>
      <w:r w:rsidR="001D6901">
        <w:t>tilling og inklusion samt</w:t>
      </w:r>
      <w:r>
        <w:t xml:space="preserve"> fokus på bæredygtighed.</w:t>
      </w:r>
      <w:r w:rsidR="001D6901">
        <w:t xml:space="preserve"> </w:t>
      </w:r>
      <w:r w:rsidR="00FD4B4F">
        <w:t>Strateginoten</w:t>
      </w:r>
      <w:r w:rsidR="005E126F" w:rsidRPr="005E126F">
        <w:t xml:space="preserve"> basere</w:t>
      </w:r>
      <w:r w:rsidR="005E126F">
        <w:t>r sig</w:t>
      </w:r>
      <w:r w:rsidR="005E126F" w:rsidRPr="005E126F">
        <w:t xml:space="preserve"> på disse </w:t>
      </w:r>
      <w:r w:rsidR="005E126F">
        <w:t>principper og i de strategiske valg lægges der særlig vægt på følgende:</w:t>
      </w:r>
    </w:p>
    <w:p w:rsidR="005E126F" w:rsidRDefault="005E126F" w:rsidP="00395042">
      <w:pPr>
        <w:pStyle w:val="Listeafsnit"/>
        <w:numPr>
          <w:ilvl w:val="0"/>
          <w:numId w:val="24"/>
        </w:numPr>
        <w:jc w:val="both"/>
      </w:pPr>
      <w:r>
        <w:t>Lokal</w:t>
      </w:r>
      <w:r w:rsidR="00371714">
        <w:t xml:space="preserve">t </w:t>
      </w:r>
      <w:r>
        <w:t xml:space="preserve">lederskab i form af </w:t>
      </w:r>
      <w:r w:rsidR="00371714">
        <w:t xml:space="preserve">donorernes </w:t>
      </w:r>
      <w:r>
        <w:t>direkte samarbejde med lokale myndigheder og</w:t>
      </w:r>
      <w:r w:rsidR="001E5791">
        <w:t xml:space="preserve"> civilsamfundet, og </w:t>
      </w:r>
      <w:r>
        <w:t>disse</w:t>
      </w:r>
      <w:r w:rsidR="000076ED">
        <w:t>s</w:t>
      </w:r>
      <w:r>
        <w:t xml:space="preserve"> aktive deltagelse i både beslutninger, implementering og monitorering</w:t>
      </w:r>
      <w:r w:rsidR="00486B9B">
        <w:t>.</w:t>
      </w:r>
    </w:p>
    <w:p w:rsidR="00D358A2" w:rsidRDefault="005E126F" w:rsidP="00395042">
      <w:pPr>
        <w:pStyle w:val="Listeafsnit"/>
        <w:numPr>
          <w:ilvl w:val="0"/>
          <w:numId w:val="24"/>
        </w:numPr>
        <w:jc w:val="both"/>
      </w:pPr>
      <w:r>
        <w:t>En tilrettelæggelse</w:t>
      </w:r>
      <w:r w:rsidR="0068791C">
        <w:t xml:space="preserve"> af indsatserne</w:t>
      </w:r>
      <w:r>
        <w:t>, der anerkender behov for helt akut bistand til tidlig genopbygning, men samtidig meget bevidst arbejder på</w:t>
      </w:r>
      <w:r w:rsidR="00293873">
        <w:t>,</w:t>
      </w:r>
      <w:r>
        <w:t xml:space="preserve"> </w:t>
      </w:r>
      <w:r w:rsidR="00D358A2">
        <w:t>at denne indsats indtænkes i indsats</w:t>
      </w:r>
      <w:r w:rsidR="0068791C">
        <w:t>er</w:t>
      </w:r>
      <w:r w:rsidR="00D358A2">
        <w:t xml:space="preserve"> på mellemlang og lang sigt, der har fokus på a</w:t>
      </w:r>
      <w:r w:rsidR="00293873">
        <w:t>t</w:t>
      </w:r>
      <w:r w:rsidR="00D358A2">
        <w:t xml:space="preserve"> genopbygge bedre og grønnere.</w:t>
      </w:r>
    </w:p>
    <w:p w:rsidR="00CC1E26" w:rsidRDefault="00CC1E26" w:rsidP="00395042">
      <w:pPr>
        <w:pStyle w:val="Listeafsnit"/>
        <w:numPr>
          <w:ilvl w:val="0"/>
          <w:numId w:val="24"/>
        </w:numPr>
        <w:jc w:val="both"/>
      </w:pPr>
      <w:r>
        <w:t xml:space="preserve">For at </w:t>
      </w:r>
      <w:r w:rsidRPr="009D378D">
        <w:t xml:space="preserve">bidrage </w:t>
      </w:r>
      <w:r w:rsidR="00286059">
        <w:t xml:space="preserve">bedst muligt til </w:t>
      </w:r>
      <w:r w:rsidRPr="009D378D">
        <w:t>gen</w:t>
      </w:r>
      <w:r w:rsidR="008B0E27">
        <w:t>etablering</w:t>
      </w:r>
      <w:r w:rsidRPr="009D378D">
        <w:t xml:space="preserve"> af </w:t>
      </w:r>
      <w:r w:rsidRPr="000467A3">
        <w:rPr>
          <w:rFonts w:ascii="Arial" w:hAnsi="Arial" w:cs="Arial"/>
        </w:rPr>
        <w:t>​​</w:t>
      </w:r>
      <w:r w:rsidRPr="009D378D">
        <w:t xml:space="preserve">den ukrainske </w:t>
      </w:r>
      <w:r w:rsidRPr="000467A3">
        <w:t>ø</w:t>
      </w:r>
      <w:r w:rsidRPr="009D378D">
        <w:t>konomi</w:t>
      </w:r>
      <w:r w:rsidR="008B0E27">
        <w:t xml:space="preserve"> gennem invest</w:t>
      </w:r>
      <w:r w:rsidR="003D27BA">
        <w:t>eringer</w:t>
      </w:r>
      <w:r w:rsidR="00286059">
        <w:t>, vil</w:t>
      </w:r>
      <w:r w:rsidRPr="00CC1E26">
        <w:t xml:space="preserve"> </w:t>
      </w:r>
      <w:r w:rsidR="00B4565F">
        <w:t xml:space="preserve">fokus være på </w:t>
      </w:r>
      <w:r w:rsidRPr="005A0462">
        <w:t>at fremme ukrainske</w:t>
      </w:r>
      <w:r w:rsidR="00F4668C">
        <w:t xml:space="preserve"> </w:t>
      </w:r>
      <w:r w:rsidR="00B72FFD">
        <w:t>–</w:t>
      </w:r>
      <w:r w:rsidR="00F4668C">
        <w:t xml:space="preserve"> herunder</w:t>
      </w:r>
      <w:r w:rsidR="00B72FFD">
        <w:t xml:space="preserve"> </w:t>
      </w:r>
      <w:r w:rsidRPr="005A0462">
        <w:t>lokale</w:t>
      </w:r>
      <w:r w:rsidR="00F4668C">
        <w:t xml:space="preserve"> - </w:t>
      </w:r>
      <w:r w:rsidRPr="005A0462">
        <w:t xml:space="preserve">beskæftigelsesmuligheder og </w:t>
      </w:r>
      <w:r w:rsidR="00921CEC">
        <w:t xml:space="preserve">en </w:t>
      </w:r>
      <w:r w:rsidRPr="005A0462">
        <w:t>revitalisering af ukrainske virksomheder</w:t>
      </w:r>
      <w:r w:rsidR="00FD25BA">
        <w:t xml:space="preserve"> i det hele taget</w:t>
      </w:r>
      <w:r w:rsidR="00732A27">
        <w:t xml:space="preserve">. </w:t>
      </w:r>
      <w:r w:rsidR="00732A27" w:rsidRPr="005A0462">
        <w:t>Det</w:t>
      </w:r>
      <w:r w:rsidR="00FD25BA">
        <w:t>te</w:t>
      </w:r>
      <w:r w:rsidR="00732A27" w:rsidRPr="005A0462">
        <w:t xml:space="preserve"> </w:t>
      </w:r>
      <w:r w:rsidR="003C3B41">
        <w:t>vil</w:t>
      </w:r>
      <w:r w:rsidR="00F4668C">
        <w:t xml:space="preserve"> </w:t>
      </w:r>
      <w:r w:rsidR="00732A27" w:rsidRPr="005A0462">
        <w:t xml:space="preserve">afspejles i valg af implementerende partnere og teknologiske løsninger. </w:t>
      </w:r>
      <w:r w:rsidR="000467A3" w:rsidRPr="005A0462">
        <w:t xml:space="preserve">Hvor </w:t>
      </w:r>
      <w:r w:rsidR="0068791C">
        <w:t xml:space="preserve">relevant og </w:t>
      </w:r>
      <w:r w:rsidR="000467A3" w:rsidRPr="005A0462">
        <w:t xml:space="preserve">muligt, </w:t>
      </w:r>
      <w:r w:rsidR="00F626A8">
        <w:t>vil fokus være på</w:t>
      </w:r>
      <w:r w:rsidR="003C3B41">
        <w:t xml:space="preserve"> </w:t>
      </w:r>
      <w:r w:rsidR="00F626A8">
        <w:t>at</w:t>
      </w:r>
      <w:r w:rsidR="003C3B41">
        <w:t xml:space="preserve"> </w:t>
      </w:r>
      <w:r w:rsidR="000467A3" w:rsidRPr="005A0462">
        <w:t xml:space="preserve">fremme forbindelser </w:t>
      </w:r>
      <w:r w:rsidR="006D08C5">
        <w:t xml:space="preserve">mellem </w:t>
      </w:r>
      <w:r w:rsidR="000467A3" w:rsidRPr="005A0462">
        <w:t xml:space="preserve">danske </w:t>
      </w:r>
      <w:r w:rsidR="006D08C5">
        <w:t xml:space="preserve">og ukrainske </w:t>
      </w:r>
      <w:r w:rsidR="000467A3" w:rsidRPr="005A0462">
        <w:t xml:space="preserve">virksomheder for at </w:t>
      </w:r>
      <w:r w:rsidR="0068791C">
        <w:t xml:space="preserve">facilitere </w:t>
      </w:r>
      <w:r w:rsidR="004A228B">
        <w:t xml:space="preserve">samarbejde og mulige </w:t>
      </w:r>
      <w:r w:rsidR="000467A3" w:rsidRPr="005A0462">
        <w:t>investeringer</w:t>
      </w:r>
      <w:r w:rsidR="006D08C5">
        <w:t>.</w:t>
      </w:r>
      <w:r w:rsidR="001E5791">
        <w:t xml:space="preserve"> Det sker også gennem tidlig involvering af og dialog med det lokale civilsamfund.</w:t>
      </w:r>
    </w:p>
    <w:p w:rsidR="0074695D" w:rsidRDefault="0074695D" w:rsidP="0074695D">
      <w:pPr>
        <w:pStyle w:val="Listeafsnit"/>
        <w:numPr>
          <w:ilvl w:val="0"/>
          <w:numId w:val="24"/>
        </w:numPr>
        <w:jc w:val="both"/>
      </w:pPr>
      <w:r>
        <w:t>Høj prioritering af god regeringsførelse og transparens. Parallelt med – og gerne indtænkt i indsatserne – arbejdes der på at etablere og styrke mekanismer og procedurer for transparen</w:t>
      </w:r>
      <w:r w:rsidR="00371714">
        <w:t>s</w:t>
      </w:r>
      <w:r>
        <w:t>, ’accountability’ og god (lokal) regeringsførelse</w:t>
      </w:r>
      <w:r w:rsidR="00C25D97">
        <w:t xml:space="preserve"> med inddragelse af det lokale civilsamfund</w:t>
      </w:r>
      <w:r>
        <w:t>. Dette sker indenfor genopbygningsindsatsen og i samspil og synergi med den danske indsats rettet mod reform og demokratisering.</w:t>
      </w:r>
      <w:r w:rsidR="000458F4">
        <w:t xml:space="preserve"> En særlig indsats gælder fremme af </w:t>
      </w:r>
      <w:r w:rsidR="000572E6">
        <w:t>arbejdstagerrettigheder</w:t>
      </w:r>
      <w:r w:rsidR="000458F4">
        <w:t xml:space="preserve"> og social dialog. </w:t>
      </w:r>
    </w:p>
    <w:p w:rsidR="000076ED" w:rsidRDefault="00393896" w:rsidP="00395042">
      <w:pPr>
        <w:pStyle w:val="Listeafsnit"/>
        <w:numPr>
          <w:ilvl w:val="0"/>
          <w:numId w:val="24"/>
        </w:numPr>
        <w:jc w:val="both"/>
      </w:pPr>
      <w:r>
        <w:t>Alle p</w:t>
      </w:r>
      <w:r w:rsidR="009412C8" w:rsidRPr="00B72FFD">
        <w:t xml:space="preserve">rojekter inden for </w:t>
      </w:r>
      <w:r w:rsidR="00FD4B4F">
        <w:t>strategi</w:t>
      </w:r>
      <w:r w:rsidR="00371714">
        <w:t>not</w:t>
      </w:r>
      <w:r w:rsidR="00FD4B4F">
        <w:t>en</w:t>
      </w:r>
      <w:r w:rsidR="009412C8" w:rsidRPr="00B72FFD">
        <w:t xml:space="preserve"> </w:t>
      </w:r>
      <w:r w:rsidR="003B6AE4">
        <w:t xml:space="preserve">vil </w:t>
      </w:r>
      <w:r w:rsidR="009412C8" w:rsidRPr="00B72FFD">
        <w:t xml:space="preserve">blive afstemt med de tværgående prioriteter i Danmarks </w:t>
      </w:r>
      <w:r w:rsidR="003B6AE4">
        <w:t>S</w:t>
      </w:r>
      <w:r w:rsidR="009412C8" w:rsidRPr="00B72FFD">
        <w:t xml:space="preserve">trategi for </w:t>
      </w:r>
      <w:r w:rsidR="003B6AE4">
        <w:t>U</w:t>
      </w:r>
      <w:r w:rsidR="009412C8" w:rsidRPr="00B72FFD">
        <w:t>dviklingssamarbejde, 'The World We Share'</w:t>
      </w:r>
      <w:r w:rsidR="003B6AE4">
        <w:t xml:space="preserve">. </w:t>
      </w:r>
      <w:r w:rsidR="009412C8" w:rsidRPr="00B72FFD">
        <w:t xml:space="preserve">Alle </w:t>
      </w:r>
      <w:r w:rsidR="0030525D">
        <w:t>indsatser</w:t>
      </w:r>
      <w:r w:rsidR="009412C8" w:rsidRPr="00B72FFD">
        <w:t xml:space="preserve"> skal gennemføres med </w:t>
      </w:r>
      <w:r w:rsidR="00371714">
        <w:t xml:space="preserve">afsæt i </w:t>
      </w:r>
      <w:r w:rsidR="009412C8" w:rsidRPr="00B72FFD">
        <w:t xml:space="preserve">en menneskerettighedsbaseret tilgang og dermed </w:t>
      </w:r>
      <w:r w:rsidR="00D06289">
        <w:t>have fokus på</w:t>
      </w:r>
      <w:r w:rsidR="009412C8" w:rsidRPr="00B72FFD">
        <w:t xml:space="preserve"> </w:t>
      </w:r>
      <w:r w:rsidR="0030525D">
        <w:t xml:space="preserve">folkelig </w:t>
      </w:r>
      <w:r w:rsidR="009412C8" w:rsidRPr="00B72FFD">
        <w:t>deltage</w:t>
      </w:r>
      <w:r w:rsidR="00D06289">
        <w:t>lse</w:t>
      </w:r>
      <w:r w:rsidR="009412C8" w:rsidRPr="00B72FFD">
        <w:t xml:space="preserve">, </w:t>
      </w:r>
      <w:r w:rsidR="0030525D">
        <w:t>på s</w:t>
      </w:r>
      <w:r w:rsidR="00B76BF1">
        <w:t>tyrkelse af involverede aktører</w:t>
      </w:r>
      <w:r w:rsidR="0074695D">
        <w:t>,</w:t>
      </w:r>
      <w:r w:rsidR="008B3F03">
        <w:t xml:space="preserve"> </w:t>
      </w:r>
      <w:r w:rsidR="00371714">
        <w:t>på fremme af køn og ligestilling</w:t>
      </w:r>
      <w:r w:rsidR="0030525D">
        <w:t>,</w:t>
      </w:r>
      <w:r w:rsidR="00A22D42">
        <w:t xml:space="preserve"> på</w:t>
      </w:r>
      <w:r w:rsidR="009412C8" w:rsidRPr="00B72FFD">
        <w:t xml:space="preserve"> </w:t>
      </w:r>
      <w:r w:rsidR="00553302">
        <w:t>’accountability’</w:t>
      </w:r>
      <w:r w:rsidR="0004031D" w:rsidRPr="0004031D">
        <w:t xml:space="preserve"> </w:t>
      </w:r>
      <w:r w:rsidR="0004031D">
        <w:t xml:space="preserve">og </w:t>
      </w:r>
      <w:r w:rsidR="0004031D" w:rsidRPr="00B72FFD">
        <w:t>gennemsigtig</w:t>
      </w:r>
      <w:r w:rsidR="00293873">
        <w:t>hed</w:t>
      </w:r>
      <w:r w:rsidR="009412C8" w:rsidRPr="00B72FFD">
        <w:t xml:space="preserve"> </w:t>
      </w:r>
      <w:r w:rsidR="0030525D">
        <w:t>samt</w:t>
      </w:r>
      <w:r w:rsidR="009E79E4">
        <w:t xml:space="preserve"> </w:t>
      </w:r>
      <w:r w:rsidR="0030525D">
        <w:t xml:space="preserve">på </w:t>
      </w:r>
      <w:r w:rsidR="00553302">
        <w:t>ikke-</w:t>
      </w:r>
      <w:r w:rsidR="00BE73A9">
        <w:t>diskrimination</w:t>
      </w:r>
      <w:r w:rsidR="009412C8" w:rsidRPr="00B72FFD">
        <w:t xml:space="preserve">. </w:t>
      </w:r>
      <w:r w:rsidR="0030525D">
        <w:t>L</w:t>
      </w:r>
      <w:r w:rsidR="0050757D">
        <w:t xml:space="preserve">igebehandling </w:t>
      </w:r>
      <w:r w:rsidR="0030525D">
        <w:t xml:space="preserve">vil være et gennemgående fokus </w:t>
      </w:r>
      <w:r w:rsidR="0050757D">
        <w:t xml:space="preserve">i alle </w:t>
      </w:r>
      <w:r w:rsidR="0030525D">
        <w:t>indsatser</w:t>
      </w:r>
      <w:r w:rsidR="009C03A8">
        <w:t xml:space="preserve"> </w:t>
      </w:r>
      <w:r w:rsidR="009412C8" w:rsidRPr="00B72FFD">
        <w:t>for at sikre mangfoldighed</w:t>
      </w:r>
      <w:r w:rsidR="00731184">
        <w:t xml:space="preserve"> og </w:t>
      </w:r>
      <w:r w:rsidR="0030525D">
        <w:t xml:space="preserve">støtte til </w:t>
      </w:r>
      <w:r w:rsidR="00731184">
        <w:t>personer i særligt sårbare situationer</w:t>
      </w:r>
      <w:r w:rsidR="000076ED">
        <w:t xml:space="preserve">. </w:t>
      </w:r>
      <w:r w:rsidR="00724EA3">
        <w:t>Det</w:t>
      </w:r>
      <w:r w:rsidR="006B0A56">
        <w:t>te</w:t>
      </w:r>
      <w:r w:rsidR="00724EA3">
        <w:t xml:space="preserve"> skal ske for at sikre </w:t>
      </w:r>
      <w:r w:rsidR="0030525D">
        <w:t xml:space="preserve">ukrainernes </w:t>
      </w:r>
      <w:r w:rsidR="00724EA3">
        <w:t xml:space="preserve">lige adgang </w:t>
      </w:r>
      <w:r w:rsidR="00921CEC">
        <w:t xml:space="preserve">til </w:t>
      </w:r>
      <w:r w:rsidR="0030525D">
        <w:t>ydelser</w:t>
      </w:r>
      <w:r w:rsidR="00724EA3">
        <w:t xml:space="preserve"> og muligheder. </w:t>
      </w:r>
    </w:p>
    <w:p w:rsidR="00E026E4" w:rsidRDefault="009412C8" w:rsidP="00395042">
      <w:pPr>
        <w:pStyle w:val="Listeafsnit"/>
        <w:numPr>
          <w:ilvl w:val="0"/>
          <w:numId w:val="24"/>
        </w:numPr>
        <w:jc w:val="both"/>
      </w:pPr>
      <w:r w:rsidRPr="00B72FFD">
        <w:t xml:space="preserve">Endelig vil den danske støtte </w:t>
      </w:r>
      <w:r w:rsidR="001A075C">
        <w:t>blive</w:t>
      </w:r>
      <w:r w:rsidRPr="00B72FFD">
        <w:t xml:space="preserve"> designet</w:t>
      </w:r>
      <w:r w:rsidR="00371714">
        <w:t>,</w:t>
      </w:r>
      <w:r w:rsidRPr="00B72FFD">
        <w:t xml:space="preserve"> </w:t>
      </w:r>
      <w:r w:rsidR="00810346">
        <w:t xml:space="preserve">så den bidrager </w:t>
      </w:r>
      <w:r w:rsidRPr="00B72FFD">
        <w:t xml:space="preserve">til at fremme </w:t>
      </w:r>
      <w:r w:rsidR="00B76BF1">
        <w:t xml:space="preserve">transparens, </w:t>
      </w:r>
      <w:r w:rsidRPr="00B72FFD">
        <w:t>ansvarlighed og gennemsigtighed i genopbygningen</w:t>
      </w:r>
      <w:r w:rsidR="00810346">
        <w:t>. Den vil skulle</w:t>
      </w:r>
      <w:r w:rsidR="00976F2C">
        <w:t xml:space="preserve"> </w:t>
      </w:r>
      <w:r w:rsidRPr="00B72FFD">
        <w:t xml:space="preserve">supplere </w:t>
      </w:r>
      <w:r w:rsidR="00810346">
        <w:t xml:space="preserve">og skabe synergi med </w:t>
      </w:r>
      <w:r w:rsidRPr="00B72FFD">
        <w:t>det igangværende samarbejde mellem de ukrainske myndigheder og EU's Anti-Corruption Initiative (EUACI)</w:t>
      </w:r>
      <w:r w:rsidR="00B76BF1">
        <w:t>, herunder involvering af civilsamfundet til at over</w:t>
      </w:r>
      <w:r w:rsidR="00371714">
        <w:t>våge</w:t>
      </w:r>
      <w:r w:rsidR="00B76BF1">
        <w:t xml:space="preserve"> genopbygningsprocessen</w:t>
      </w:r>
      <w:r w:rsidR="00810346">
        <w:t>, der finansieres under Naboskabsprogrammet.</w:t>
      </w:r>
    </w:p>
    <w:p w:rsidR="009412C8" w:rsidRPr="00B72FFD" w:rsidRDefault="00E026E4" w:rsidP="00395042">
      <w:pPr>
        <w:pStyle w:val="Listeafsnit"/>
        <w:numPr>
          <w:ilvl w:val="0"/>
          <w:numId w:val="24"/>
        </w:numPr>
        <w:jc w:val="both"/>
      </w:pPr>
      <w:r>
        <w:lastRenderedPageBreak/>
        <w:t>Det dansk-ukrainske samarbejde sker tillige inden for et overordne</w:t>
      </w:r>
      <w:r w:rsidR="00293873">
        <w:t>t</w:t>
      </w:r>
      <w:r>
        <w:t xml:space="preserve"> mål om at understøtte </w:t>
      </w:r>
      <w:r w:rsidR="00E659B8">
        <w:t>u</w:t>
      </w:r>
      <w:r>
        <w:t xml:space="preserve">krainske ambitioner om </w:t>
      </w:r>
      <w:r w:rsidR="00E659B8">
        <w:t xml:space="preserve">at opnå </w:t>
      </w:r>
      <w:r>
        <w:t xml:space="preserve">EU medlemskab, eksempelvis ved at støtte indsatser, som fremmer korruptionsbekæmpelse og grøn omstilling i tråd med EU-krav og procedurer. </w:t>
      </w:r>
      <w:r w:rsidR="00101677">
        <w:t xml:space="preserve"> </w:t>
      </w:r>
    </w:p>
    <w:p w:rsidR="00CA5D52" w:rsidRDefault="00CA5D52" w:rsidP="00395042">
      <w:pPr>
        <w:pStyle w:val="Overskrift2"/>
        <w:numPr>
          <w:ilvl w:val="1"/>
          <w:numId w:val="9"/>
        </w:numPr>
      </w:pPr>
      <w:bookmarkStart w:id="19" w:name="_Toc133169476"/>
      <w:r>
        <w:t>Geografisk afgrænsning</w:t>
      </w:r>
      <w:bookmarkEnd w:id="19"/>
    </w:p>
    <w:p w:rsidR="00DA1FDA" w:rsidRDefault="00DA1FDA" w:rsidP="00CF6D4F">
      <w:pPr>
        <w:jc w:val="both"/>
      </w:pPr>
      <w:r>
        <w:t>Midlerne til genopbygning i Ukraine vil i 2023-24 som udgangspunkt blive fordelt, så ca. 60</w:t>
      </w:r>
      <w:r w:rsidR="0030525D">
        <w:t xml:space="preserve"> %</w:t>
      </w:r>
      <w:r>
        <w:t xml:space="preserve"> anvendes i Myko</w:t>
      </w:r>
      <w:r w:rsidR="005F14E2">
        <w:t>lai</w:t>
      </w:r>
      <w:r>
        <w:t xml:space="preserve">v og ca. 40% </w:t>
      </w:r>
      <w:r w:rsidR="0030525D">
        <w:t xml:space="preserve">anvendes </w:t>
      </w:r>
      <w:r>
        <w:t xml:space="preserve">til nationale </w:t>
      </w:r>
      <w:r w:rsidR="0030525D">
        <w:t xml:space="preserve">indsatser </w:t>
      </w:r>
      <w:r>
        <w:t xml:space="preserve">og </w:t>
      </w:r>
      <w:r w:rsidR="0030525D">
        <w:t>til indsatser</w:t>
      </w:r>
      <w:r>
        <w:t xml:space="preserve"> i andre områder</w:t>
      </w:r>
      <w:r w:rsidR="0030525D">
        <w:t xml:space="preserve"> af landet</w:t>
      </w:r>
      <w:r>
        <w:t>.</w:t>
      </w:r>
    </w:p>
    <w:p w:rsidR="00E959C4" w:rsidRDefault="00DA1FDA" w:rsidP="00CF6D4F">
      <w:pPr>
        <w:jc w:val="both"/>
      </w:pPr>
      <w:r>
        <w:t>Denne fordeling skyldes den særlige rolle</w:t>
      </w:r>
      <w:r w:rsidR="0030525D">
        <w:t>,</w:t>
      </w:r>
      <w:r>
        <w:t xml:space="preserve"> Danmark har påtaget sig i Mykolaiv på opfordring af Ukraine. </w:t>
      </w:r>
      <w:r w:rsidR="00810346">
        <w:t xml:space="preserve">Indsatsen rettet mod det lokale niveau – en by og region - ligger endvidere i forlængelse af den ukrainske decentraliseringspolitik, der anses for en af de seneste års mest succesfulde ukrainske reformer. </w:t>
      </w:r>
    </w:p>
    <w:p w:rsidR="00DA1FDA" w:rsidRDefault="00DA1FDA" w:rsidP="00CF6D4F">
      <w:pPr>
        <w:jc w:val="both"/>
      </w:pPr>
      <w:r>
        <w:t>Den samlede indsats koordineres tæt med det ukrainske genopbygningsministerium mhp</w:t>
      </w:r>
      <w:r w:rsidR="005F14E2">
        <w:t>.</w:t>
      </w:r>
      <w:r w:rsidR="002D2602">
        <w:t xml:space="preserve"> at sikre, at indsatsen stemmer overens</w:t>
      </w:r>
      <w:r>
        <w:t xml:space="preserve"> med overordnede nationale prioriteter og principper. Udviklingen i Ukraine i form af f.eks. nye krigshandlinger/angreb eller nye nationale kriser, vil kunne betyde, at den geografiske prioritering </w:t>
      </w:r>
      <w:r w:rsidR="00F57002">
        <w:t xml:space="preserve">for danskstøttede indsatser </w:t>
      </w:r>
      <w:r>
        <w:t xml:space="preserve">ændres. </w:t>
      </w:r>
    </w:p>
    <w:p w:rsidR="00071446" w:rsidRDefault="00CA5D52" w:rsidP="00395042">
      <w:pPr>
        <w:pStyle w:val="Overskrift2"/>
        <w:numPr>
          <w:ilvl w:val="1"/>
          <w:numId w:val="9"/>
        </w:numPr>
      </w:pPr>
      <w:bookmarkStart w:id="20" w:name="_Toc133169477"/>
      <w:r>
        <w:t>Sektorfokus</w:t>
      </w:r>
      <w:bookmarkEnd w:id="20"/>
      <w:r w:rsidR="00D3299A">
        <w:t xml:space="preserve"> </w:t>
      </w:r>
    </w:p>
    <w:p w:rsidR="005F14E2" w:rsidRDefault="005F14E2" w:rsidP="00395042">
      <w:r w:rsidRPr="005F14E2">
        <w:t xml:space="preserve">I lyset af </w:t>
      </w:r>
      <w:r>
        <w:t>den nye nationale opgørelse af genopbygningsbehov og dialogen med de ukrainske myndigheder, herunder de lokale myndigheder i Mykolaiv, vil den danske genopbygningsbistand i 2023-24 fokusere på følgende indsatsområder:</w:t>
      </w:r>
    </w:p>
    <w:p w:rsidR="005F14E2" w:rsidRPr="00B731C7" w:rsidRDefault="005F14E2" w:rsidP="00395042">
      <w:pPr>
        <w:rPr>
          <w:u w:val="single"/>
        </w:rPr>
      </w:pPr>
      <w:r w:rsidRPr="00B731C7">
        <w:rPr>
          <w:u w:val="single"/>
        </w:rPr>
        <w:t>Mykolaiv</w:t>
      </w:r>
    </w:p>
    <w:p w:rsidR="00B731C7" w:rsidRDefault="00B731C7" w:rsidP="00395042">
      <w:pPr>
        <w:pStyle w:val="Listeafsnit"/>
        <w:numPr>
          <w:ilvl w:val="0"/>
          <w:numId w:val="37"/>
        </w:numPr>
      </w:pPr>
      <w:r>
        <w:t>Social infrastruktur omfattende skoler, børnehaver</w:t>
      </w:r>
      <w:r w:rsidR="001470CC">
        <w:t>,</w:t>
      </w:r>
      <w:r>
        <w:t xml:space="preserve"> hospitaler</w:t>
      </w:r>
      <w:r w:rsidR="001470CC">
        <w:t xml:space="preserve"> eller andre sundhedsfaciliteter</w:t>
      </w:r>
      <w:r>
        <w:t>, såvel som maskin</w:t>
      </w:r>
      <w:r w:rsidR="00A60DE9">
        <w:t>el,</w:t>
      </w:r>
      <w:r>
        <w:t xml:space="preserve"> materialer og udstyr til genopbygning, samt transport (busdrift)</w:t>
      </w:r>
    </w:p>
    <w:p w:rsidR="00B731C7" w:rsidRDefault="00B731C7" w:rsidP="00395042">
      <w:pPr>
        <w:pStyle w:val="Listeafsnit"/>
        <w:numPr>
          <w:ilvl w:val="0"/>
          <w:numId w:val="37"/>
        </w:numPr>
      </w:pPr>
      <w:r>
        <w:t>Vandforsyning</w:t>
      </w:r>
    </w:p>
    <w:p w:rsidR="00B731C7" w:rsidRDefault="00B731C7" w:rsidP="00395042">
      <w:pPr>
        <w:pStyle w:val="Listeafsnit"/>
        <w:numPr>
          <w:ilvl w:val="0"/>
          <w:numId w:val="37"/>
        </w:numPr>
      </w:pPr>
      <w:r>
        <w:t>Energiforsyning (el- og fjernvarme)</w:t>
      </w:r>
    </w:p>
    <w:p w:rsidR="00B731C7" w:rsidRDefault="00B731C7" w:rsidP="00395042">
      <w:pPr>
        <w:pStyle w:val="Listeafsnit"/>
        <w:numPr>
          <w:ilvl w:val="0"/>
          <w:numId w:val="37"/>
        </w:numPr>
      </w:pPr>
      <w:r>
        <w:t>Landbrug, genopretning af lokal produktion, inkl. udstyr og bygninger</w:t>
      </w:r>
    </w:p>
    <w:p w:rsidR="00B731C7" w:rsidRDefault="00B731C7" w:rsidP="00B76BF1">
      <w:pPr>
        <w:pStyle w:val="Listeafsnit"/>
        <w:numPr>
          <w:ilvl w:val="0"/>
          <w:numId w:val="37"/>
        </w:numPr>
        <w:jc w:val="both"/>
      </w:pPr>
      <w:r>
        <w:t>For</w:t>
      </w:r>
      <w:r w:rsidR="00C900BB">
        <w:t>t</w:t>
      </w:r>
      <w:r>
        <w:t>sat støtte til udvikling af Masterplan</w:t>
      </w:r>
      <w:r w:rsidR="004A450D">
        <w:t xml:space="preserve"> for Mykolaiv</w:t>
      </w:r>
    </w:p>
    <w:p w:rsidR="005F14E2" w:rsidRDefault="00B731C7" w:rsidP="00B76BF1">
      <w:pPr>
        <w:jc w:val="both"/>
        <w:rPr>
          <w:u w:val="single"/>
        </w:rPr>
      </w:pPr>
      <w:r w:rsidRPr="00B731C7">
        <w:rPr>
          <w:u w:val="single"/>
        </w:rPr>
        <w:t>Nationalt/Ukraine</w:t>
      </w:r>
      <w:r>
        <w:rPr>
          <w:u w:val="single"/>
        </w:rPr>
        <w:t xml:space="preserve"> generelt</w:t>
      </w:r>
    </w:p>
    <w:p w:rsidR="00B731C7" w:rsidRDefault="00B731C7" w:rsidP="00B76BF1">
      <w:pPr>
        <w:pStyle w:val="Listeafsnit"/>
        <w:numPr>
          <w:ilvl w:val="0"/>
          <w:numId w:val="36"/>
        </w:numPr>
        <w:jc w:val="both"/>
      </w:pPr>
      <w:r w:rsidRPr="00B731C7">
        <w:t>Energiforsyning og grøn omstilling</w:t>
      </w:r>
    </w:p>
    <w:p w:rsidR="004A450D" w:rsidRDefault="004A450D" w:rsidP="00B76BF1">
      <w:pPr>
        <w:pStyle w:val="Listeafsnit"/>
        <w:numPr>
          <w:ilvl w:val="0"/>
          <w:numId w:val="36"/>
        </w:numPr>
        <w:jc w:val="both"/>
      </w:pPr>
      <w:r>
        <w:t>Privat sektorudvikling og investering</w:t>
      </w:r>
    </w:p>
    <w:p w:rsidR="004A450D" w:rsidRDefault="004A450D" w:rsidP="00B76BF1">
      <w:pPr>
        <w:pStyle w:val="Listeafsnit"/>
        <w:numPr>
          <w:ilvl w:val="0"/>
          <w:numId w:val="36"/>
        </w:numPr>
        <w:jc w:val="both"/>
      </w:pPr>
      <w:r>
        <w:t>Fremme af bred folkelig deltagelse i genopbygning – herunder fremme af dansk-ukrainsk folkeligt samarbejde</w:t>
      </w:r>
      <w:r w:rsidR="00976F2C">
        <w:t xml:space="preserve"> - omfattende</w:t>
      </w:r>
      <w:r>
        <w:t xml:space="preserve">: </w:t>
      </w:r>
    </w:p>
    <w:p w:rsidR="004A450D" w:rsidRDefault="004A450D" w:rsidP="00B76BF1">
      <w:pPr>
        <w:pStyle w:val="Listeafsnit"/>
        <w:numPr>
          <w:ilvl w:val="1"/>
          <w:numId w:val="36"/>
        </w:numPr>
        <w:jc w:val="both"/>
      </w:pPr>
      <w:r>
        <w:t>Støtte til kommunal</w:t>
      </w:r>
      <w:r w:rsidR="00F57002">
        <w:t>t</w:t>
      </w:r>
      <w:r>
        <w:t xml:space="preserve"> twinning</w:t>
      </w:r>
      <w:r w:rsidR="00F57002">
        <w:t>samarbejde</w:t>
      </w:r>
      <w:r>
        <w:t xml:space="preserve"> og kapacitetsopbygning</w:t>
      </w:r>
    </w:p>
    <w:p w:rsidR="004A450D" w:rsidRDefault="004A450D" w:rsidP="00B76BF1">
      <w:pPr>
        <w:pStyle w:val="Listeafsnit"/>
        <w:numPr>
          <w:ilvl w:val="1"/>
          <w:numId w:val="36"/>
        </w:numPr>
        <w:jc w:val="both"/>
      </w:pPr>
      <w:r>
        <w:t xml:space="preserve">Fremme af </w:t>
      </w:r>
      <w:r w:rsidR="0047097B">
        <w:t>transparens</w:t>
      </w:r>
      <w:r>
        <w:t xml:space="preserve"> og mobilisering af </w:t>
      </w:r>
      <w:r w:rsidR="00C25D97">
        <w:t xml:space="preserve">det ukrainske </w:t>
      </w:r>
      <w:r>
        <w:t>civilsamfund</w:t>
      </w:r>
    </w:p>
    <w:p w:rsidR="004A450D" w:rsidRDefault="00F57002" w:rsidP="00B76BF1">
      <w:pPr>
        <w:pStyle w:val="Listeafsnit"/>
        <w:numPr>
          <w:ilvl w:val="1"/>
          <w:numId w:val="36"/>
        </w:numPr>
        <w:jc w:val="both"/>
      </w:pPr>
      <w:r>
        <w:t xml:space="preserve">Støtte til </w:t>
      </w:r>
      <w:r w:rsidR="004A450D">
        <w:t xml:space="preserve">forsendelse </w:t>
      </w:r>
      <w:r w:rsidR="00976F2C">
        <w:t xml:space="preserve">af donationer </w:t>
      </w:r>
      <w:r>
        <w:t>til Ukraine fra givere i Danmark</w:t>
      </w:r>
    </w:p>
    <w:p w:rsidR="00CA5D52" w:rsidRDefault="00CA5D52" w:rsidP="00395042">
      <w:pPr>
        <w:pStyle w:val="Overskrift2"/>
        <w:numPr>
          <w:ilvl w:val="1"/>
          <w:numId w:val="9"/>
        </w:numPr>
      </w:pPr>
      <w:bookmarkStart w:id="21" w:name="_Toc133169478"/>
      <w:r>
        <w:t>Implementeringsmodaliteter og partnere</w:t>
      </w:r>
      <w:bookmarkEnd w:id="21"/>
    </w:p>
    <w:p w:rsidR="002E1E46" w:rsidRDefault="002E1E46" w:rsidP="00B76BF1">
      <w:pPr>
        <w:jc w:val="both"/>
      </w:pPr>
      <w:r>
        <w:t xml:space="preserve">Støtte til </w:t>
      </w:r>
      <w:r w:rsidR="00976F2C">
        <w:t xml:space="preserve">tidlig </w:t>
      </w:r>
      <w:r>
        <w:t xml:space="preserve">genopbygning vil generelt blive forsøgt implementeret gennem de internationale organisationer, der har tilstedeværelse og kapacitet til at gennemføre denne type projekter. Gennem samarbejde med </w:t>
      </w:r>
      <w:r w:rsidR="00D1581E">
        <w:t xml:space="preserve">FN og </w:t>
      </w:r>
      <w:r>
        <w:t xml:space="preserve">større </w:t>
      </w:r>
      <w:r w:rsidR="00E659B8">
        <w:t>international finansieringsinstitutioner (</w:t>
      </w:r>
      <w:r>
        <w:t>IFI’er</w:t>
      </w:r>
      <w:r w:rsidR="00E659B8">
        <w:t>)</w:t>
      </w:r>
      <w:r>
        <w:t xml:space="preserve"> som EBRD, EIB og NEFCO sikres også indirekte koordinering og </w:t>
      </w:r>
      <w:r w:rsidR="00F57002">
        <w:t xml:space="preserve">overensstemmelse </w:t>
      </w:r>
      <w:r>
        <w:t xml:space="preserve">med nationale strategier </w:t>
      </w:r>
      <w:r>
        <w:lastRenderedPageBreak/>
        <w:t xml:space="preserve">og valgte tekniske løsninger. </w:t>
      </w:r>
      <w:r w:rsidR="00B6233D">
        <w:t>Som supplement vil der</w:t>
      </w:r>
      <w:r>
        <w:t xml:space="preserve"> kunne inddrages danske civilsamfundsorganisationer</w:t>
      </w:r>
      <w:r w:rsidR="00B6233D">
        <w:t>, hvor disse har særlige kompetencer, tilstedeværelse</w:t>
      </w:r>
      <w:r w:rsidR="00D1581E">
        <w:t>,</w:t>
      </w:r>
      <w:r w:rsidR="00B6233D">
        <w:t xml:space="preserve"> kapacite</w:t>
      </w:r>
      <w:r w:rsidR="004A228B">
        <w:t>t og partnere</w:t>
      </w:r>
      <w:r w:rsidR="00B6233D">
        <w:t>. Dette ville også kunne omfatte partnerskaber med og kapacitetsopbygning af ukrainske civilsamfundsorganisationer mhp</w:t>
      </w:r>
      <w:r w:rsidR="00C900BB">
        <w:t>.</w:t>
      </w:r>
      <w:r w:rsidR="00B6233D">
        <w:t xml:space="preserve"> at styrke mobilisering af civilsamfundsaktører, samt støtte d</w:t>
      </w:r>
      <w:r w:rsidR="00E659B8">
        <w:t xml:space="preserve">em </w:t>
      </w:r>
      <w:r w:rsidR="00B6233D">
        <w:t>i a</w:t>
      </w:r>
      <w:r w:rsidR="00E659B8">
        <w:t>t</w:t>
      </w:r>
      <w:r w:rsidR="00B6233D">
        <w:t xml:space="preserve"> fremme folkelig deltagelse i genopbygningsprocessen – samt i</w:t>
      </w:r>
      <w:r w:rsidR="00206DED">
        <w:t xml:space="preserve"> at sikre transparens og demokratisk </w:t>
      </w:r>
      <w:r w:rsidR="00B6233D">
        <w:t xml:space="preserve">kontrol med anvendelse af genopbygningsmidler. </w:t>
      </w:r>
    </w:p>
    <w:p w:rsidR="00384D44" w:rsidRDefault="00384D44" w:rsidP="00384D44">
      <w:pPr>
        <w:pStyle w:val="Overskrift2"/>
        <w:numPr>
          <w:ilvl w:val="1"/>
          <w:numId w:val="9"/>
        </w:numPr>
      </w:pPr>
      <w:bookmarkStart w:id="22" w:name="_Toc133169481"/>
      <w:r>
        <w:t>Synergi</w:t>
      </w:r>
      <w:bookmarkEnd w:id="22"/>
    </w:p>
    <w:p w:rsidR="00384D44" w:rsidRDefault="00384D44" w:rsidP="00384D44">
      <w:r>
        <w:t>Den danske civile støtte omfatter en række indsatser som komplementerer støtten til genopbygning. Dette omfatter bl.a.:</w:t>
      </w:r>
    </w:p>
    <w:p w:rsidR="00384D44" w:rsidRPr="00A04ACA" w:rsidRDefault="00384D44" w:rsidP="00384D44">
      <w:pPr>
        <w:pStyle w:val="Listeafsnit"/>
        <w:numPr>
          <w:ilvl w:val="0"/>
          <w:numId w:val="19"/>
        </w:numPr>
        <w:jc w:val="both"/>
      </w:pPr>
      <w:r>
        <w:t>Fortsat humanitær indsats, som prioriteres løbende ud fra udviklingen i de humanitære behov og krigens gang. For nuværende målrettes indsatsen derfor svært tilgængelige områder såsom</w:t>
      </w:r>
      <w:r w:rsidR="00C900BB">
        <w:t xml:space="preserve"> områder</w:t>
      </w:r>
      <w:r>
        <w:t xml:space="preserve"> tæt på frontlinjen og befolkningsgrupper, som vurderes særligt sårbare med begrænsede muligheder for andre former for støtte. Den humanitære indsats vil have et særligt fokus på beskyttelsesindsatser for de mest sårbare, genhusning og fordrivelse. Indsatsen implementeres i samarbejde med hovedsageligt danske civilsamfundspartnere med strategiske partnerskaber med </w:t>
      </w:r>
      <w:r w:rsidR="00C900BB">
        <w:t>U</w:t>
      </w:r>
      <w:r>
        <w:t xml:space="preserve">denrigsministeriet, FN og Røde Kors-bevægelsen. </w:t>
      </w:r>
    </w:p>
    <w:p w:rsidR="00384D44" w:rsidRDefault="00384D44" w:rsidP="00384D44">
      <w:pPr>
        <w:pStyle w:val="Listeafsnit"/>
        <w:numPr>
          <w:ilvl w:val="0"/>
          <w:numId w:val="19"/>
        </w:numPr>
        <w:jc w:val="both"/>
      </w:pPr>
      <w:r w:rsidRPr="00A04ACA">
        <w:t xml:space="preserve">Et civilt spor under </w:t>
      </w:r>
      <w:r>
        <w:t>Freds- og Stabiliseringsprogrammet i Ukraine,</w:t>
      </w:r>
      <w:r w:rsidRPr="00A04ACA">
        <w:t xml:space="preserve"> der fremmer social sammenhængskraft og sikkerhed i Ukraines frontlinjeområder</w:t>
      </w:r>
      <w:r>
        <w:t xml:space="preserve">, hjælp til </w:t>
      </w:r>
      <w:r w:rsidRPr="00A04ACA">
        <w:t xml:space="preserve">krigstraumatiserede </w:t>
      </w:r>
      <w:r>
        <w:t>personer samt indsatser rettet mod</w:t>
      </w:r>
      <w:r w:rsidRPr="00A04ACA">
        <w:t xml:space="preserve"> fremtidig retsforfølg</w:t>
      </w:r>
      <w:r w:rsidR="00C900BB">
        <w:t>ning</w:t>
      </w:r>
      <w:r w:rsidRPr="00A04ACA">
        <w:t xml:space="preserve"> af </w:t>
      </w:r>
      <w:r>
        <w:t xml:space="preserve">personer anklaget for at have begået </w:t>
      </w:r>
      <w:r w:rsidRPr="00A04ACA">
        <w:t>krigsforbrydelser.</w:t>
      </w:r>
    </w:p>
    <w:p w:rsidR="00384D44" w:rsidRDefault="00384D44" w:rsidP="00384D44">
      <w:pPr>
        <w:pStyle w:val="Listeafsnit"/>
        <w:numPr>
          <w:ilvl w:val="0"/>
          <w:numId w:val="19"/>
        </w:numPr>
        <w:jc w:val="both"/>
      </w:pPr>
      <w:r w:rsidRPr="00A04ACA">
        <w:t>Reform</w:t>
      </w:r>
      <w:r>
        <w:t>- og demokrati</w:t>
      </w:r>
      <w:r w:rsidRPr="00A04ACA">
        <w:t xml:space="preserve">indsatser under </w:t>
      </w:r>
      <w:r w:rsidR="00ED3445">
        <w:t>N</w:t>
      </w:r>
      <w:r w:rsidRPr="00A04ACA">
        <w:t>aboskabsprogrammet, der understøtter Ukraines EU kandidatur og er målrettet bl.a. korruptionsbekæmpelse, frie medier, civilsamfundets mobilisering og modstandskraft</w:t>
      </w:r>
      <w:r>
        <w:t>, bedre forhold på arbejdsmarkedet samt samarbejde på energiområdet mellem det ukrainske energiministerium og Energistyrelsen i Danmark.</w:t>
      </w:r>
      <w:r w:rsidR="000458F4">
        <w:t xml:space="preserve"> Indsatsen rummer flere mekanismer og puljeordninger for støtte til ukrain</w:t>
      </w:r>
      <w:r w:rsidR="000572E6">
        <w:t xml:space="preserve">ske civilsamfundsorganisationer – herunder samarbejde med, og støtte til, ukrainsk fagbevægelse. </w:t>
      </w:r>
    </w:p>
    <w:p w:rsidR="00384D44" w:rsidRPr="00A04ACA" w:rsidRDefault="00384D44" w:rsidP="00384D44">
      <w:pPr>
        <w:pStyle w:val="Listeafsnit"/>
        <w:numPr>
          <w:ilvl w:val="0"/>
          <w:numId w:val="19"/>
        </w:numPr>
        <w:jc w:val="both"/>
      </w:pPr>
      <w:r>
        <w:t xml:space="preserve">Myndighedssamarbejde (med energisektorrådgiver fra medio 2023 samt dialog om fremtidig sektorrådgivere på områderne landbrug og vand). </w:t>
      </w:r>
    </w:p>
    <w:p w:rsidR="00384D44" w:rsidRDefault="00384D44" w:rsidP="00384D44">
      <w:pPr>
        <w:pStyle w:val="Listeafsnit"/>
        <w:numPr>
          <w:ilvl w:val="0"/>
          <w:numId w:val="19"/>
        </w:numPr>
        <w:jc w:val="both"/>
      </w:pPr>
      <w:r>
        <w:t>Danske bidrag til multilaterale organisationer, der arbejder i Ukraine.</w:t>
      </w:r>
    </w:p>
    <w:p w:rsidR="00384D44" w:rsidRDefault="00384D44" w:rsidP="00384D44">
      <w:pPr>
        <w:pStyle w:val="Listeafsnit"/>
        <w:numPr>
          <w:ilvl w:val="0"/>
          <w:numId w:val="19"/>
        </w:numPr>
        <w:jc w:val="both"/>
      </w:pPr>
      <w:r>
        <w:t>Støtte til danske civilsamfundsorganisationer, der arbejder i Ukraine.</w:t>
      </w:r>
    </w:p>
    <w:p w:rsidR="00384D44" w:rsidRDefault="00384D44" w:rsidP="00384D44">
      <w:pPr>
        <w:jc w:val="both"/>
      </w:pPr>
      <w:r>
        <w:t>Dertil komme Ukrainefondens erhvervsspor</w:t>
      </w:r>
      <w:r w:rsidRPr="00A04ACA">
        <w:t xml:space="preserve">, der skal understøtte en revitalisering af den private sektor i Ukraine og fremme, at danske kommercielle løsninger </w:t>
      </w:r>
      <w:r>
        <w:t xml:space="preserve">hvor muligt </w:t>
      </w:r>
      <w:r w:rsidRPr="00A04ACA">
        <w:t>bringes i spil i</w:t>
      </w:r>
      <w:r>
        <w:t xml:space="preserve"> forbindelse med</w:t>
      </w:r>
      <w:r w:rsidRPr="00A04ACA">
        <w:t xml:space="preserve"> genopbygningen af Ukraine. Dette vil ske gennem etablering af en låne- og garantiordning i Danmarks Eksport- og Investeringsfond (EIFO)</w:t>
      </w:r>
      <w:r>
        <w:t xml:space="preserve"> for at imødekomme risici</w:t>
      </w:r>
      <w:r w:rsidRPr="00A04ACA">
        <w:t>. Herigennem vil genopbygnings- og investeringsprojekter, potentielt også i Mykolaiv, blive støttet.</w:t>
      </w:r>
      <w:r>
        <w:t xml:space="preserve"> </w:t>
      </w:r>
    </w:p>
    <w:p w:rsidR="00384D44" w:rsidRDefault="00384D44" w:rsidP="00384D44">
      <w:pPr>
        <w:jc w:val="both"/>
      </w:pPr>
      <w:r>
        <w:t xml:space="preserve">Filantropiske fonde har i vidt omfang bidraget med donationer og indsatser i Ukraine. Engagementerne varierer fra støtte til civilsamfundsorganisationer og FN-organisationer til aktuel tilstedeværelse i landet. Der afsøges muligheder for samarbejde, koordination og synergi med fondene som en del af det </w:t>
      </w:r>
      <w:r w:rsidRPr="00FF4703">
        <w:rPr>
          <w:i/>
        </w:rPr>
        <w:t>samlede</w:t>
      </w:r>
      <w:r>
        <w:t xml:space="preserve"> danske engagement i landet.   </w:t>
      </w:r>
    </w:p>
    <w:p w:rsidR="00384D44" w:rsidRDefault="00384D44" w:rsidP="00384D44">
      <w:pPr>
        <w:jc w:val="both"/>
      </w:pPr>
      <w:r>
        <w:t>For at sikre målopfyldelse og en effektiv anvendelse af bistanden, er det afgørende at sikre synergi, koordinering og samarbejde mellem de forskellige indsatser. Dette vil være centralt i planlægningen af de enkelte indsatser og konkrete projekter.</w:t>
      </w:r>
    </w:p>
    <w:p w:rsidR="00384D44" w:rsidRDefault="00384D44" w:rsidP="00384D44">
      <w:pPr>
        <w:spacing w:after="0"/>
        <w:jc w:val="both"/>
        <w:rPr>
          <w:u w:val="single"/>
        </w:rPr>
      </w:pPr>
      <w:r>
        <w:lastRenderedPageBreak/>
        <w:t xml:space="preserve">Som nævnt i sektion 3 vil indsatser under Naboskabsprogrammet komplementere og medvirke til at sikre </w:t>
      </w:r>
      <w:r w:rsidRPr="004063C6">
        <w:t>målopfyldelse i forhold til de fem delmål for genopbygningsindsatsen, særligt hvad angår delmål II, IV og V.</w:t>
      </w:r>
    </w:p>
    <w:p w:rsidR="00384D44" w:rsidRDefault="00384D44" w:rsidP="00B76BF1">
      <w:pPr>
        <w:jc w:val="both"/>
      </w:pPr>
    </w:p>
    <w:p w:rsidR="00700FE6" w:rsidRDefault="00700FE6" w:rsidP="00700FE6">
      <w:pPr>
        <w:pStyle w:val="Overskrift2"/>
        <w:numPr>
          <w:ilvl w:val="1"/>
          <w:numId w:val="9"/>
        </w:numPr>
      </w:pPr>
      <w:bookmarkStart w:id="23" w:name="_Toc133169479"/>
      <w:r>
        <w:t>Korruptionsudfordringer – partnervalg, administration og styrket tilsyn</w:t>
      </w:r>
      <w:bookmarkEnd w:id="23"/>
    </w:p>
    <w:p w:rsidR="00700FE6" w:rsidRDefault="00700FE6" w:rsidP="00CF6D4F">
      <w:pPr>
        <w:jc w:val="both"/>
      </w:pPr>
      <w:r>
        <w:t>I lyset af de</w:t>
      </w:r>
      <w:r w:rsidR="00E659B8">
        <w:t>n</w:t>
      </w:r>
      <w:r>
        <w:t xml:space="preserve"> traditionelt høje </w:t>
      </w:r>
      <w:r w:rsidR="00E659B8">
        <w:t xml:space="preserve">risiko for </w:t>
      </w:r>
      <w:r>
        <w:t xml:space="preserve">korruption </w:t>
      </w:r>
      <w:r w:rsidR="00102482">
        <w:t>i Ukraine, kombineret med</w:t>
      </w:r>
      <w:r>
        <w:t xml:space="preserve"> en tilfø</w:t>
      </w:r>
      <w:r w:rsidR="00102482">
        <w:t>j</w:t>
      </w:r>
      <w:r>
        <w:t>else af betydelige midler til genopbygning, er</w:t>
      </w:r>
      <w:r w:rsidR="00102482">
        <w:t xml:space="preserve"> der</w:t>
      </w:r>
      <w:r>
        <w:t xml:space="preserve"> behov for at overveje tilrettelæggelse </w:t>
      </w:r>
      <w:r w:rsidR="00ED1FD2">
        <w:t xml:space="preserve">af </w:t>
      </w:r>
      <w:r>
        <w:t xml:space="preserve">og tilsyn med den danske bistand. Risikoen for korruption i danskstøttede indsatser vil blive </w:t>
      </w:r>
      <w:r w:rsidR="00ED1FD2">
        <w:t xml:space="preserve">søgt </w:t>
      </w:r>
      <w:r>
        <w:t>imødegået på følgende måder:</w:t>
      </w:r>
    </w:p>
    <w:p w:rsidR="00700FE6" w:rsidRDefault="00700FE6" w:rsidP="00CF6D4F">
      <w:pPr>
        <w:pStyle w:val="Listeafsnit"/>
        <w:numPr>
          <w:ilvl w:val="0"/>
          <w:numId w:val="46"/>
        </w:numPr>
        <w:jc w:val="both"/>
      </w:pPr>
      <w:r>
        <w:t>Støtte til Ukraines egne anti-korruptionstiltag og fremme af ukrainsk civilsamfund og undersøgende journalister, omfattende</w:t>
      </w:r>
      <w:r w:rsidR="008B3F03">
        <w:rPr>
          <w:rStyle w:val="Fodnotehenvisning"/>
        </w:rPr>
        <w:footnoteReference w:id="4"/>
      </w:r>
      <w:r>
        <w:t>:</w:t>
      </w:r>
    </w:p>
    <w:p w:rsidR="00700FE6" w:rsidRDefault="00700FE6" w:rsidP="00CF6D4F">
      <w:pPr>
        <w:pStyle w:val="Listeafsnit"/>
        <w:numPr>
          <w:ilvl w:val="1"/>
          <w:numId w:val="46"/>
        </w:numPr>
        <w:jc w:val="both"/>
      </w:pPr>
      <w:r>
        <w:t>Forsat støtte til EU's anti-korruptions initiativ,</w:t>
      </w:r>
      <w:r w:rsidR="00102482">
        <w:t xml:space="preserve"> EUACI,</w:t>
      </w:r>
      <w:r>
        <w:t xml:space="preserve"> der er ledet og </w:t>
      </w:r>
      <w:r w:rsidR="00102482">
        <w:t>med</w:t>
      </w:r>
      <w:r>
        <w:t>finansieret af Danmark. Initiativet støtter ukrainske nationale anti-korruptionsinstitutioner samt yder støtte til undersøgende journalister og civilsamfundsaktører, der er aktive i bekæmpelse a</w:t>
      </w:r>
      <w:r w:rsidR="004079A3">
        <w:t>f</w:t>
      </w:r>
      <w:r>
        <w:t xml:space="preserve"> korruption både nationalt og lokalt.</w:t>
      </w:r>
    </w:p>
    <w:p w:rsidR="00700FE6" w:rsidRDefault="00700FE6" w:rsidP="00CF6D4F">
      <w:pPr>
        <w:pStyle w:val="Listeafsnit"/>
        <w:numPr>
          <w:ilvl w:val="1"/>
          <w:numId w:val="46"/>
        </w:numPr>
        <w:jc w:val="both"/>
      </w:pPr>
      <w:r>
        <w:t>I 2023 har EUACI indgået afta</w:t>
      </w:r>
      <w:r w:rsidR="00102482">
        <w:t>le med det nye ministerium</w:t>
      </w:r>
      <w:r>
        <w:t xml:space="preserve"> for genopbygning mhp</w:t>
      </w:r>
      <w:r w:rsidR="00D84D89">
        <w:t>.</w:t>
      </w:r>
      <w:r>
        <w:t xml:space="preserve"> teknisk rådgivning omkring korruptionsbekæmpelse i genopbygningsbistanden</w:t>
      </w:r>
      <w:r w:rsidR="00102482">
        <w:t>.</w:t>
      </w:r>
    </w:p>
    <w:p w:rsidR="00700FE6" w:rsidRDefault="00D84D89" w:rsidP="00CF6D4F">
      <w:pPr>
        <w:pStyle w:val="Listeafsnit"/>
        <w:numPr>
          <w:ilvl w:val="1"/>
          <w:numId w:val="46"/>
        </w:numPr>
        <w:jc w:val="both"/>
      </w:pPr>
      <w:r>
        <w:t>Fra 2022 er Mykolai</w:t>
      </w:r>
      <w:r w:rsidR="00700FE6">
        <w:t>v blevet såkaldt ’Integrity City’ under EUACI og modtager således teknisk bistand til at opbygge egne kontrolsystemer</w:t>
      </w:r>
      <w:r w:rsidR="00102482">
        <w:t xml:space="preserve"> i forbindelse med eksempelvis udbudsprocesser</w:t>
      </w:r>
      <w:r w:rsidR="00700FE6">
        <w:t xml:space="preserve">, ligesom civilsamfund og undersøgende journalister i Mykolaiv støttes i </w:t>
      </w:r>
      <w:r w:rsidR="00102482">
        <w:t xml:space="preserve">deres </w:t>
      </w:r>
      <w:r w:rsidR="00700FE6">
        <w:t xml:space="preserve">indsats for at påtage sig rollen som vagthund. </w:t>
      </w:r>
    </w:p>
    <w:p w:rsidR="00700FE6" w:rsidRDefault="00700FE6" w:rsidP="00CF6D4F">
      <w:pPr>
        <w:pStyle w:val="Listeafsnit"/>
        <w:numPr>
          <w:ilvl w:val="1"/>
          <w:numId w:val="46"/>
        </w:numPr>
        <w:jc w:val="both"/>
      </w:pPr>
      <w:r>
        <w:t>Støtte til ukrainske civilsamfundsorganisationer der deltager i genopbygningsaktiviteter, med fokus på d</w:t>
      </w:r>
      <w:r w:rsidR="00102482">
        <w:t>eres</w:t>
      </w:r>
      <w:r>
        <w:t xml:space="preserve"> rolle i og bidrag til demokratisk kontrol med anvendelse af de anvendte midler. </w:t>
      </w:r>
    </w:p>
    <w:p w:rsidR="00700FE6" w:rsidRDefault="00700FE6" w:rsidP="00CF6D4F">
      <w:pPr>
        <w:pStyle w:val="Listeafsnit"/>
        <w:numPr>
          <w:ilvl w:val="0"/>
          <w:numId w:val="46"/>
        </w:numPr>
        <w:jc w:val="both"/>
      </w:pPr>
      <w:r>
        <w:t>Valg af partnere med kapacitet til at forvalte bistand og afprøvede kontrolsystemer</w:t>
      </w:r>
      <w:r w:rsidR="00102482">
        <w:t>.</w:t>
      </w:r>
      <w:r w:rsidR="004079A3">
        <w:t xml:space="preserve"> </w:t>
      </w:r>
      <w:r>
        <w:t>Mykolaiv har eksplicit bedt om</w:t>
      </w:r>
      <w:r w:rsidR="004079A3">
        <w:t>,</w:t>
      </w:r>
      <w:r>
        <w:t xml:space="preserve"> at </w:t>
      </w:r>
      <w:r w:rsidR="004079A3">
        <w:t>dansk støtte</w:t>
      </w:r>
      <w:r>
        <w:t xml:space="preserve"> ikke </w:t>
      </w:r>
      <w:r w:rsidR="004079A3">
        <w:t xml:space="preserve">gives </w:t>
      </w:r>
      <w:r>
        <w:t>direkt</w:t>
      </w:r>
      <w:r w:rsidR="00102482">
        <w:t>e</w:t>
      </w:r>
      <w:r>
        <w:t xml:space="preserve"> til byen, men implementeres af internationale eller danske organisationer med tilstedeværelse </w:t>
      </w:r>
      <w:r w:rsidR="00E81F12">
        <w:t xml:space="preserve">og stærke lokale partnerskaber </w:t>
      </w:r>
      <w:r>
        <w:t>i Mykolaiv og</w:t>
      </w:r>
      <w:r w:rsidR="004079A3">
        <w:t xml:space="preserve"> med afsæt i </w:t>
      </w:r>
      <w:r>
        <w:t xml:space="preserve">velafprøvede kontrolsystemer. </w:t>
      </w:r>
    </w:p>
    <w:p w:rsidR="00700FE6" w:rsidRDefault="00700FE6" w:rsidP="00CF6D4F">
      <w:pPr>
        <w:pStyle w:val="Listeafsnit"/>
        <w:numPr>
          <w:ilvl w:val="0"/>
          <w:numId w:val="46"/>
        </w:numPr>
        <w:jc w:val="both"/>
      </w:pPr>
      <w:r>
        <w:t xml:space="preserve">Øget tilsyn </w:t>
      </w:r>
      <w:r w:rsidR="004079A3">
        <w:t>med dansk støtte i form af</w:t>
      </w:r>
      <w:r>
        <w:t>:</w:t>
      </w:r>
    </w:p>
    <w:p w:rsidR="00700FE6" w:rsidRDefault="00700FE6" w:rsidP="00CF6D4F">
      <w:pPr>
        <w:pStyle w:val="Listeafsnit"/>
        <w:numPr>
          <w:ilvl w:val="1"/>
          <w:numId w:val="46"/>
        </w:numPr>
        <w:jc w:val="both"/>
      </w:pPr>
      <w:r>
        <w:t>Etablering af ambassadekontor i Mykolaiv</w:t>
      </w:r>
      <w:r w:rsidR="00102482">
        <w:t xml:space="preserve"> med dansk tilstedeværelse</w:t>
      </w:r>
    </w:p>
    <w:p w:rsidR="00ED1FD2" w:rsidRDefault="00ED1FD2" w:rsidP="00CF6D4F">
      <w:pPr>
        <w:pStyle w:val="Listeafsnit"/>
        <w:numPr>
          <w:ilvl w:val="1"/>
          <w:numId w:val="46"/>
        </w:numPr>
        <w:jc w:val="both"/>
      </w:pPr>
      <w:r>
        <w:t>Etablering af uafhængig tredjeparts monitorering gennem eksterne konsulenter</w:t>
      </w:r>
    </w:p>
    <w:p w:rsidR="00700FE6" w:rsidRDefault="00ED1FD2" w:rsidP="00CF6D4F">
      <w:pPr>
        <w:pStyle w:val="Listeafsnit"/>
        <w:numPr>
          <w:ilvl w:val="1"/>
          <w:numId w:val="46"/>
        </w:numPr>
        <w:jc w:val="both"/>
      </w:pPr>
      <w:r>
        <w:t>T</w:t>
      </w:r>
      <w:r w:rsidR="00700FE6">
        <w:t>ilsynsrejser</w:t>
      </w:r>
      <w:r w:rsidR="00102482">
        <w:t>/besøg hos partnerorganisationer</w:t>
      </w:r>
      <w:r w:rsidR="004079A3">
        <w:t>.</w:t>
      </w:r>
      <w:r>
        <w:t xml:space="preserve"> </w:t>
      </w:r>
    </w:p>
    <w:p w:rsidR="00ED1FD2" w:rsidRDefault="00ED1FD2" w:rsidP="00ED1FD2">
      <w:pPr>
        <w:pStyle w:val="Listeafsnit"/>
        <w:ind w:left="1440"/>
      </w:pPr>
    </w:p>
    <w:p w:rsidR="005A2F7F" w:rsidRDefault="005F33C7" w:rsidP="00102482">
      <w:pPr>
        <w:pStyle w:val="Overskrift2"/>
        <w:numPr>
          <w:ilvl w:val="1"/>
          <w:numId w:val="9"/>
        </w:numPr>
      </w:pPr>
      <w:bookmarkStart w:id="24" w:name="_Toc133169480"/>
      <w:r>
        <w:t>Specifikke indsatser</w:t>
      </w:r>
      <w:bookmarkEnd w:id="24"/>
    </w:p>
    <w:p w:rsidR="00157AA6" w:rsidRDefault="00B565B9" w:rsidP="00102482">
      <w:pPr>
        <w:jc w:val="both"/>
      </w:pPr>
      <w:r>
        <w:t xml:space="preserve">De specifikke indsatser vil skulle defineres i en kommende </w:t>
      </w:r>
      <w:r w:rsidR="00874BCF">
        <w:t>planlægningsfase</w:t>
      </w:r>
      <w:r>
        <w:t xml:space="preserve">. </w:t>
      </w:r>
      <w:r w:rsidR="00805CDD">
        <w:t>I de</w:t>
      </w:r>
      <w:r>
        <w:t>nne vil</w:t>
      </w:r>
      <w:r w:rsidR="00874BCF">
        <w:t xml:space="preserve"> der</w:t>
      </w:r>
      <w:r w:rsidR="00805CDD">
        <w:t>,</w:t>
      </w:r>
      <w:r w:rsidR="00874BCF">
        <w:t xml:space="preserve"> </w:t>
      </w:r>
      <w:r w:rsidR="00805CDD">
        <w:t>ud fra</w:t>
      </w:r>
      <w:r w:rsidR="00874BCF">
        <w:t xml:space="preserve"> de overordnede prioriteter og principper i </w:t>
      </w:r>
      <w:r w:rsidR="00FD4B4F">
        <w:t>Strateginoten</w:t>
      </w:r>
      <w:r w:rsidR="00874BCF">
        <w:t>, blive formuleret konkrete projekter</w:t>
      </w:r>
      <w:r>
        <w:t xml:space="preserve"> baseret på aktuelle behov</w:t>
      </w:r>
      <w:r w:rsidR="00874BCF">
        <w:t xml:space="preserve">, en afdækning af andre indsatser og en vurdering af de enkelte indsatser i forhold til almindelig principper for effektiv bistandsimplementering. </w:t>
      </w:r>
    </w:p>
    <w:p w:rsidR="00B02927" w:rsidRDefault="00B02927" w:rsidP="00102482">
      <w:pPr>
        <w:jc w:val="both"/>
      </w:pPr>
      <w:r>
        <w:t>Nedenfor er angivet en tentativ oversigt over</w:t>
      </w:r>
      <w:r w:rsidR="00D1581E">
        <w:t>,</w:t>
      </w:r>
      <w:r>
        <w:t xml:space="preserve"> hvordan det overordnede mål og opstillede delmål </w:t>
      </w:r>
      <w:r w:rsidR="006C5ABE">
        <w:t>kan udmøntes</w:t>
      </w:r>
      <w:r>
        <w:t xml:space="preserve"> i forhold til specifikke indsatser på hvert af de definerede sektorområder. I lyset af situationen og de store usikkerheder </w:t>
      </w:r>
      <w:r w:rsidR="00805CDD">
        <w:t>beskrevet</w:t>
      </w:r>
      <w:r>
        <w:t xml:space="preserve"> ove</w:t>
      </w:r>
      <w:r w:rsidR="00805CDD">
        <w:t>nfor</w:t>
      </w:r>
      <w:r>
        <w:t xml:space="preserve">, må det </w:t>
      </w:r>
      <w:r w:rsidR="006C5ABE">
        <w:t xml:space="preserve">imidlertid </w:t>
      </w:r>
      <w:r>
        <w:t>forudsættes</w:t>
      </w:r>
      <w:r w:rsidR="006C5ABE">
        <w:t>,</w:t>
      </w:r>
      <w:r>
        <w:t xml:space="preserve"> </w:t>
      </w:r>
      <w:r w:rsidR="00EA7E4C">
        <w:t xml:space="preserve">at </w:t>
      </w:r>
      <w:r>
        <w:t xml:space="preserve">de </w:t>
      </w:r>
      <w:r>
        <w:lastRenderedPageBreak/>
        <w:t xml:space="preserve">faktiske indsatsområder kan blive justeret i forhold til pludselig opståede behov og i forhold til andre donorers indsatser og prioriteter. </w:t>
      </w:r>
    </w:p>
    <w:p w:rsidR="00A46C6C" w:rsidRDefault="00A46C6C" w:rsidP="00395042">
      <w:pPr>
        <w:rPr>
          <w:b/>
        </w:rPr>
      </w:pPr>
    </w:p>
    <w:p w:rsidR="00B02927" w:rsidRPr="0071451B" w:rsidRDefault="00B02927" w:rsidP="00395042">
      <w:pPr>
        <w:rPr>
          <w:b/>
        </w:rPr>
      </w:pPr>
      <w:r w:rsidRPr="0071451B">
        <w:rPr>
          <w:b/>
        </w:rPr>
        <w:t>Mykolaiv</w:t>
      </w:r>
    </w:p>
    <w:tbl>
      <w:tblPr>
        <w:tblStyle w:val="Tabel-Gitter"/>
        <w:tblW w:w="10348" w:type="dxa"/>
        <w:tblInd w:w="-5" w:type="dxa"/>
        <w:tblLook w:val="04A0" w:firstRow="1" w:lastRow="0" w:firstColumn="1" w:lastColumn="0" w:noHBand="0" w:noVBand="1"/>
      </w:tblPr>
      <w:tblGrid>
        <w:gridCol w:w="1889"/>
        <w:gridCol w:w="2247"/>
        <w:gridCol w:w="2075"/>
        <w:gridCol w:w="2153"/>
        <w:gridCol w:w="1984"/>
      </w:tblGrid>
      <w:tr w:rsidR="00CC2A77" w:rsidTr="00697DCD">
        <w:tc>
          <w:tcPr>
            <w:tcW w:w="1889" w:type="dxa"/>
          </w:tcPr>
          <w:p w:rsidR="00CC2A77" w:rsidRPr="00FE1D64" w:rsidRDefault="00CC2A77" w:rsidP="00395042">
            <w:pPr>
              <w:spacing w:line="276" w:lineRule="auto"/>
            </w:pPr>
            <w:r w:rsidRPr="00FE1D64">
              <w:rPr>
                <w:b/>
                <w:bCs/>
              </w:rPr>
              <w:t>Sektor</w:t>
            </w:r>
          </w:p>
          <w:p w:rsidR="00CC2A77" w:rsidRDefault="00CC2A77" w:rsidP="00395042">
            <w:pPr>
              <w:spacing w:line="276" w:lineRule="auto"/>
            </w:pPr>
          </w:p>
        </w:tc>
        <w:tc>
          <w:tcPr>
            <w:tcW w:w="2247" w:type="dxa"/>
          </w:tcPr>
          <w:p w:rsidR="00CC2A77" w:rsidRPr="00FE1D64" w:rsidRDefault="00CC2A77" w:rsidP="00395042">
            <w:pPr>
              <w:spacing w:line="276" w:lineRule="auto"/>
            </w:pPr>
            <w:r w:rsidRPr="00FE1D64">
              <w:rPr>
                <w:b/>
                <w:bCs/>
              </w:rPr>
              <w:t>Kortsigtet 2023</w:t>
            </w:r>
          </w:p>
          <w:p w:rsidR="00CC2A77" w:rsidRDefault="00CC2A77" w:rsidP="00395042">
            <w:pPr>
              <w:spacing w:line="276" w:lineRule="auto"/>
            </w:pPr>
          </w:p>
        </w:tc>
        <w:tc>
          <w:tcPr>
            <w:tcW w:w="2075" w:type="dxa"/>
          </w:tcPr>
          <w:p w:rsidR="00CC2A77" w:rsidRPr="00FE1D64" w:rsidRDefault="00CC2A77" w:rsidP="00395042">
            <w:pPr>
              <w:spacing w:line="276" w:lineRule="auto"/>
            </w:pPr>
            <w:r w:rsidRPr="00FE1D64">
              <w:rPr>
                <w:b/>
                <w:bCs/>
              </w:rPr>
              <w:t>Medium-sigtet 2023</w:t>
            </w:r>
            <w:r w:rsidR="00206DED">
              <w:rPr>
                <w:b/>
                <w:bCs/>
              </w:rPr>
              <w:t>-24</w:t>
            </w:r>
          </w:p>
          <w:p w:rsidR="00CC2A77" w:rsidRDefault="00CC2A77" w:rsidP="00395042">
            <w:pPr>
              <w:spacing w:line="276" w:lineRule="auto"/>
            </w:pPr>
          </w:p>
        </w:tc>
        <w:tc>
          <w:tcPr>
            <w:tcW w:w="2153" w:type="dxa"/>
          </w:tcPr>
          <w:p w:rsidR="00CC2A77" w:rsidRPr="00FE1D64" w:rsidRDefault="00CC2A77" w:rsidP="00395042">
            <w:pPr>
              <w:spacing w:line="276" w:lineRule="auto"/>
            </w:pPr>
            <w:r w:rsidRPr="00FE1D64">
              <w:rPr>
                <w:b/>
                <w:bCs/>
              </w:rPr>
              <w:t>Langsigtet 202</w:t>
            </w:r>
            <w:r w:rsidR="00206DED">
              <w:rPr>
                <w:b/>
                <w:bCs/>
              </w:rPr>
              <w:t>5-</w:t>
            </w:r>
          </w:p>
          <w:p w:rsidR="00CC2A77" w:rsidRDefault="00CC2A77" w:rsidP="00395042">
            <w:pPr>
              <w:spacing w:line="276" w:lineRule="auto"/>
            </w:pPr>
          </w:p>
        </w:tc>
        <w:tc>
          <w:tcPr>
            <w:tcW w:w="1984" w:type="dxa"/>
          </w:tcPr>
          <w:p w:rsidR="00CC2A77" w:rsidRDefault="00B838F8" w:rsidP="00395042">
            <w:pPr>
              <w:spacing w:line="276" w:lineRule="auto"/>
              <w:rPr>
                <w:b/>
                <w:bCs/>
              </w:rPr>
            </w:pPr>
            <w:r>
              <w:rPr>
                <w:b/>
                <w:bCs/>
              </w:rPr>
              <w:t>Mulige i</w:t>
            </w:r>
            <w:r w:rsidR="00CC2A77">
              <w:rPr>
                <w:b/>
                <w:bCs/>
              </w:rPr>
              <w:t>mpl</w:t>
            </w:r>
            <w:r w:rsidR="008364FA">
              <w:rPr>
                <w:b/>
                <w:bCs/>
              </w:rPr>
              <w:t>ementerende</w:t>
            </w:r>
          </w:p>
          <w:p w:rsidR="00CC2A77" w:rsidRDefault="008364FA" w:rsidP="00395042">
            <w:pPr>
              <w:spacing w:line="276" w:lineRule="auto"/>
            </w:pPr>
            <w:r w:rsidRPr="00FE1D64">
              <w:rPr>
                <w:b/>
                <w:bCs/>
              </w:rPr>
              <w:t>P</w:t>
            </w:r>
            <w:r w:rsidR="00CC2A77" w:rsidRPr="00FE1D64">
              <w:rPr>
                <w:b/>
                <w:bCs/>
              </w:rPr>
              <w:t>artnere</w:t>
            </w:r>
          </w:p>
        </w:tc>
      </w:tr>
      <w:tr w:rsidR="009458D6" w:rsidTr="00697DCD">
        <w:tc>
          <w:tcPr>
            <w:tcW w:w="1889" w:type="dxa"/>
          </w:tcPr>
          <w:p w:rsidR="009458D6" w:rsidRPr="00FE1D64" w:rsidRDefault="009458D6" w:rsidP="00395042">
            <w:pPr>
              <w:spacing w:line="276" w:lineRule="auto"/>
              <w:rPr>
                <w:b/>
                <w:bCs/>
              </w:rPr>
            </w:pPr>
            <w:r w:rsidRPr="00F424BF">
              <w:rPr>
                <w:b/>
              </w:rPr>
              <w:t>Social infrastruktur</w:t>
            </w:r>
            <w:r>
              <w:rPr>
                <w:b/>
              </w:rPr>
              <w:t>, vand og energiforsyning</w:t>
            </w:r>
          </w:p>
        </w:tc>
        <w:tc>
          <w:tcPr>
            <w:tcW w:w="8459" w:type="dxa"/>
            <w:gridSpan w:val="4"/>
          </w:tcPr>
          <w:p w:rsidR="009458D6" w:rsidRDefault="009458D6" w:rsidP="00172BB2">
            <w:pPr>
              <w:spacing w:line="276" w:lineRule="auto"/>
              <w:rPr>
                <w:b/>
                <w:bCs/>
              </w:rPr>
            </w:pPr>
            <w:r w:rsidRPr="008A7B41">
              <w:rPr>
                <w:u w:val="single"/>
              </w:rPr>
              <w:t>Målsætning</w:t>
            </w:r>
            <w:r w:rsidRPr="006C5ABE">
              <w:t>:</w:t>
            </w:r>
            <w:r>
              <w:t xml:space="preserve"> </w:t>
            </w:r>
            <w:r w:rsidR="00795AE9" w:rsidRPr="00AE3EFE">
              <w:t>At s</w:t>
            </w:r>
            <w:r w:rsidRPr="00AE3EFE">
              <w:t xml:space="preserve">kabe grundlag for tilbagevenden </w:t>
            </w:r>
            <w:r w:rsidR="00D1581E">
              <w:t xml:space="preserve">ved </w:t>
            </w:r>
            <w:r w:rsidRPr="00AE3EFE">
              <w:t>åbning af basal social infrastruktur</w:t>
            </w:r>
            <w:r w:rsidR="006156DC" w:rsidRPr="00394053">
              <w:t xml:space="preserve"> </w:t>
            </w:r>
            <w:r w:rsidR="00172BB2">
              <w:t xml:space="preserve">samt </w:t>
            </w:r>
            <w:r w:rsidR="006156DC" w:rsidRPr="00394053">
              <w:t xml:space="preserve">genetablering af energi- </w:t>
            </w:r>
            <w:r w:rsidR="00795AE9" w:rsidRPr="00394053">
              <w:t>og vandforsyning</w:t>
            </w:r>
            <w:r w:rsidR="00312766" w:rsidRPr="00394053">
              <w:t xml:space="preserve"> med fokus på at vælge effektive, bæredygtige og grønne løsninger.</w:t>
            </w:r>
          </w:p>
        </w:tc>
      </w:tr>
      <w:tr w:rsidR="00CC2A77" w:rsidTr="00697DCD">
        <w:trPr>
          <w:trHeight w:val="2762"/>
        </w:trPr>
        <w:tc>
          <w:tcPr>
            <w:tcW w:w="1889" w:type="dxa"/>
          </w:tcPr>
          <w:p w:rsidR="00CC2A77" w:rsidRPr="00F424BF" w:rsidRDefault="00CC2A77" w:rsidP="00395042">
            <w:pPr>
              <w:spacing w:line="276" w:lineRule="auto"/>
              <w:rPr>
                <w:b/>
              </w:rPr>
            </w:pPr>
            <w:r w:rsidRPr="00F424BF">
              <w:rPr>
                <w:b/>
              </w:rPr>
              <w:t>Social infrastruktur</w:t>
            </w:r>
          </w:p>
          <w:p w:rsidR="00CC2A77" w:rsidRDefault="00CC2A77" w:rsidP="00395042">
            <w:pPr>
              <w:spacing w:line="276" w:lineRule="auto"/>
              <w:ind w:firstLine="1304"/>
            </w:pPr>
          </w:p>
        </w:tc>
        <w:tc>
          <w:tcPr>
            <w:tcW w:w="2247" w:type="dxa"/>
          </w:tcPr>
          <w:p w:rsidR="00206DED" w:rsidRPr="008A7B41" w:rsidRDefault="00CC2A77" w:rsidP="00395042">
            <w:pPr>
              <w:spacing w:line="276" w:lineRule="auto"/>
              <w:rPr>
                <w:u w:val="single"/>
              </w:rPr>
            </w:pPr>
            <w:r w:rsidRPr="008A7B41">
              <w:rPr>
                <w:u w:val="single"/>
              </w:rPr>
              <w:t>Aktiviteter:</w:t>
            </w:r>
            <w:r w:rsidR="00B56633" w:rsidRPr="008A7B41">
              <w:rPr>
                <w:u w:val="single"/>
              </w:rPr>
              <w:t xml:space="preserve"> </w:t>
            </w:r>
          </w:p>
          <w:p w:rsidR="00CC2A77" w:rsidRPr="00AE3EFE" w:rsidRDefault="00B56633" w:rsidP="00EA7E4C">
            <w:pPr>
              <w:spacing w:line="276" w:lineRule="auto"/>
            </w:pPr>
            <w:r w:rsidRPr="00394053">
              <w:t>Basal renovation af skoler og børn</w:t>
            </w:r>
            <w:r w:rsidR="002D5305" w:rsidRPr="00394053">
              <w:t>e</w:t>
            </w:r>
            <w:r w:rsidRPr="00394053">
              <w:t>haver</w:t>
            </w:r>
            <w:r w:rsidR="002D5305" w:rsidRPr="00394053">
              <w:t xml:space="preserve"> – herunder </w:t>
            </w:r>
            <w:r w:rsidR="00EA7E4C">
              <w:t>etablering</w:t>
            </w:r>
            <w:r w:rsidR="002D5305" w:rsidRPr="00394053">
              <w:t xml:space="preserve"> af beskyttelses</w:t>
            </w:r>
            <w:r w:rsidR="00172BB2">
              <w:t>rum</w:t>
            </w:r>
            <w:r w:rsidR="00C73E61" w:rsidRPr="00394053">
              <w:t xml:space="preserve">. </w:t>
            </w:r>
            <w:r w:rsidR="002D5305" w:rsidRPr="00394053">
              <w:t xml:space="preserve"> </w:t>
            </w:r>
            <w:r w:rsidR="00404D46" w:rsidRPr="00394053">
              <w:t>Første genetablering af offentlig transport</w:t>
            </w:r>
            <w:r w:rsidR="003D20CF" w:rsidRPr="00394053">
              <w:t>. Udstyr til hospitaler ift</w:t>
            </w:r>
            <w:r w:rsidR="007B045D">
              <w:t>.</w:t>
            </w:r>
            <w:r w:rsidR="003D20CF" w:rsidRPr="00394053">
              <w:t xml:space="preserve"> mangler på konkret</w:t>
            </w:r>
            <w:r w:rsidR="00172BB2">
              <w:t>e</w:t>
            </w:r>
            <w:r w:rsidR="003D20CF" w:rsidRPr="00394053">
              <w:t xml:space="preserve"> afdelinger. </w:t>
            </w:r>
            <w:r w:rsidR="003D33E6" w:rsidRPr="00394053">
              <w:t xml:space="preserve">Første </w:t>
            </w:r>
            <w:r w:rsidR="001B1D22" w:rsidRPr="00394053">
              <w:t xml:space="preserve">genhusning af borgere og </w:t>
            </w:r>
            <w:r w:rsidR="00172BB2">
              <w:t>i</w:t>
            </w:r>
            <w:r w:rsidR="007B045D">
              <w:t>nternt fordrevne</w:t>
            </w:r>
            <w:r w:rsidR="001B1D22" w:rsidRPr="00394053">
              <w:t>.</w:t>
            </w:r>
            <w:r w:rsidR="00404D46" w:rsidRPr="00394053">
              <w:t xml:space="preserve"> </w:t>
            </w:r>
          </w:p>
        </w:tc>
        <w:tc>
          <w:tcPr>
            <w:tcW w:w="2075" w:type="dxa"/>
          </w:tcPr>
          <w:p w:rsidR="00206DED" w:rsidRPr="008A7B41" w:rsidRDefault="00CC2A77" w:rsidP="00395042">
            <w:pPr>
              <w:spacing w:line="276" w:lineRule="auto"/>
              <w:rPr>
                <w:u w:val="single"/>
              </w:rPr>
            </w:pPr>
            <w:r w:rsidRPr="008A7B41">
              <w:rPr>
                <w:u w:val="single"/>
              </w:rPr>
              <w:t>Aktiviteter:</w:t>
            </w:r>
            <w:r w:rsidR="003D20CF" w:rsidRPr="008A7B41">
              <w:rPr>
                <w:u w:val="single"/>
              </w:rPr>
              <w:t xml:space="preserve"> </w:t>
            </w:r>
          </w:p>
          <w:p w:rsidR="00CC2A77" w:rsidRPr="00AE3EFE" w:rsidRDefault="007435C8" w:rsidP="00395042">
            <w:pPr>
              <w:spacing w:line="276" w:lineRule="auto"/>
            </w:pPr>
            <w:r>
              <w:t>Yderligere</w:t>
            </w:r>
            <w:r w:rsidR="003D20CF" w:rsidRPr="00394053">
              <w:t xml:space="preserve"> renovation</w:t>
            </w:r>
            <w:r w:rsidR="00AD29CC" w:rsidRPr="00394053">
              <w:t xml:space="preserve"> og genetabl</w:t>
            </w:r>
            <w:r w:rsidR="00FB5AD9" w:rsidRPr="00394053">
              <w:t>ering a</w:t>
            </w:r>
            <w:r w:rsidR="003D20CF" w:rsidRPr="00394053">
              <w:t xml:space="preserve">f </w:t>
            </w:r>
            <w:r w:rsidR="00FB5AD9" w:rsidRPr="00394053">
              <w:t>offentlige institutioner (</w:t>
            </w:r>
            <w:r>
              <w:t xml:space="preserve">særligt </w:t>
            </w:r>
            <w:r w:rsidR="00FB5AD9" w:rsidRPr="00394053">
              <w:t>skoler, børnehaver, hospitaler</w:t>
            </w:r>
            <w:r w:rsidR="001470CC">
              <w:t xml:space="preserve"> herunder sundhedsfaciliteter</w:t>
            </w:r>
            <w:r w:rsidR="00FB5AD9" w:rsidRPr="00394053">
              <w:t>)</w:t>
            </w:r>
            <w:r w:rsidR="00B838F8">
              <w:t>, hvor muligt med energieffektivisering.</w:t>
            </w:r>
            <w:r w:rsidR="00EB1DAA" w:rsidRPr="00394053">
              <w:t xml:space="preserve"> </w:t>
            </w:r>
            <w:r w:rsidR="00B838F8">
              <w:t>Hvor muligt, begyndende r</w:t>
            </w:r>
            <w:r w:rsidR="00C665C7" w:rsidRPr="00394053">
              <w:t>enovation af beboelsesejendomme.</w:t>
            </w:r>
            <w:r w:rsidR="003D20CF" w:rsidRPr="00394053">
              <w:t xml:space="preserve"> </w:t>
            </w:r>
          </w:p>
        </w:tc>
        <w:tc>
          <w:tcPr>
            <w:tcW w:w="2153" w:type="dxa"/>
          </w:tcPr>
          <w:p w:rsidR="00206DED" w:rsidRPr="008A7B41" w:rsidRDefault="00CC2A77" w:rsidP="00395042">
            <w:pPr>
              <w:spacing w:line="276" w:lineRule="auto"/>
              <w:rPr>
                <w:u w:val="single"/>
              </w:rPr>
            </w:pPr>
            <w:r w:rsidRPr="008A7B41">
              <w:rPr>
                <w:u w:val="single"/>
              </w:rPr>
              <w:t xml:space="preserve">Aktiviteter: </w:t>
            </w:r>
          </w:p>
          <w:p w:rsidR="00CC2A77" w:rsidRPr="00AE3EFE" w:rsidRDefault="00CC2A77" w:rsidP="00395042">
            <w:pPr>
              <w:spacing w:line="276" w:lineRule="auto"/>
            </w:pPr>
            <w:r w:rsidRPr="00AE3EFE">
              <w:t>Opskalering af genopbygning, der inkluderer energi-effektiviseringstiltag og vedvarende energiløsninger.</w:t>
            </w:r>
          </w:p>
        </w:tc>
        <w:tc>
          <w:tcPr>
            <w:tcW w:w="1984" w:type="dxa"/>
          </w:tcPr>
          <w:p w:rsidR="00F84C53" w:rsidRDefault="00F84C53" w:rsidP="00395042">
            <w:pPr>
              <w:spacing w:line="276" w:lineRule="auto"/>
            </w:pPr>
          </w:p>
          <w:p w:rsidR="00CC2A77" w:rsidRPr="00FE1D64" w:rsidRDefault="00CC2A77" w:rsidP="00395042">
            <w:pPr>
              <w:spacing w:line="276" w:lineRule="auto"/>
            </w:pPr>
            <w:r w:rsidRPr="00FE1D64">
              <w:t xml:space="preserve">UNDP, </w:t>
            </w:r>
            <w:r w:rsidR="00F84C53">
              <w:t xml:space="preserve">UNOPS, </w:t>
            </w:r>
            <w:r w:rsidRPr="00FE1D64">
              <w:t>EBRD, NEF</w:t>
            </w:r>
            <w:r w:rsidR="008A7B41">
              <w:t xml:space="preserve">CO, evt. danske </w:t>
            </w:r>
            <w:r w:rsidR="00172BB2">
              <w:t>civilsamfundsorganisationer</w:t>
            </w:r>
            <w:r w:rsidR="007B045D">
              <w:t>.</w:t>
            </w:r>
          </w:p>
          <w:p w:rsidR="00CC2A77" w:rsidRDefault="00CC2A77" w:rsidP="00395042">
            <w:pPr>
              <w:spacing w:line="276" w:lineRule="auto"/>
            </w:pPr>
          </w:p>
          <w:p w:rsidR="00CC2A77" w:rsidRDefault="00CC2A77" w:rsidP="00395042">
            <w:pPr>
              <w:spacing w:line="276" w:lineRule="auto"/>
            </w:pPr>
          </w:p>
          <w:p w:rsidR="00CC2A77" w:rsidRPr="00FE1D64" w:rsidRDefault="00CC2A77" w:rsidP="00395042">
            <w:pPr>
              <w:spacing w:line="276" w:lineRule="auto"/>
              <w:ind w:firstLine="1304"/>
            </w:pPr>
          </w:p>
        </w:tc>
      </w:tr>
      <w:tr w:rsidR="00CC2A77" w:rsidTr="00697DCD">
        <w:trPr>
          <w:trHeight w:val="1368"/>
        </w:trPr>
        <w:tc>
          <w:tcPr>
            <w:tcW w:w="1889" w:type="dxa"/>
          </w:tcPr>
          <w:p w:rsidR="00CC2A77" w:rsidRPr="00F424BF" w:rsidRDefault="00CC2A77" w:rsidP="00395042">
            <w:pPr>
              <w:spacing w:line="276" w:lineRule="auto"/>
              <w:rPr>
                <w:b/>
              </w:rPr>
            </w:pPr>
            <w:r w:rsidRPr="00F424BF">
              <w:rPr>
                <w:b/>
              </w:rPr>
              <w:t>Vandforsyning</w:t>
            </w:r>
          </w:p>
        </w:tc>
        <w:tc>
          <w:tcPr>
            <w:tcW w:w="2247" w:type="dxa"/>
          </w:tcPr>
          <w:p w:rsidR="00B838F8" w:rsidRPr="00B838F8" w:rsidRDefault="00C73E61" w:rsidP="00395042">
            <w:pPr>
              <w:spacing w:line="276" w:lineRule="auto"/>
              <w:rPr>
                <w:u w:val="single"/>
              </w:rPr>
            </w:pPr>
            <w:r w:rsidRPr="00B838F8">
              <w:rPr>
                <w:u w:val="single"/>
              </w:rPr>
              <w:t xml:space="preserve">Aktiviteter: </w:t>
            </w:r>
          </w:p>
          <w:p w:rsidR="00CC2A77" w:rsidRDefault="00CC2A77" w:rsidP="00172BB2">
            <w:pPr>
              <w:spacing w:line="276" w:lineRule="auto"/>
            </w:pPr>
            <w:r w:rsidRPr="00FE1D64">
              <w:t>Mindre reparationer</w:t>
            </w:r>
            <w:r w:rsidR="009330BE">
              <w:t xml:space="preserve"> o</w:t>
            </w:r>
            <w:r w:rsidR="00172BB2">
              <w:t xml:space="preserve">g renovationsprojekter. </w:t>
            </w:r>
            <w:r w:rsidRPr="00FE1D64">
              <w:t>Levering af pumper</w:t>
            </w:r>
            <w:r w:rsidR="00CE75AE">
              <w:t xml:space="preserve"> og rør</w:t>
            </w:r>
            <w:r w:rsidRPr="00FE1D64">
              <w:t xml:space="preserve"> mm. </w:t>
            </w:r>
          </w:p>
        </w:tc>
        <w:tc>
          <w:tcPr>
            <w:tcW w:w="2075" w:type="dxa"/>
          </w:tcPr>
          <w:p w:rsidR="00B838F8" w:rsidRPr="00B838F8" w:rsidRDefault="00C73E61" w:rsidP="00395042">
            <w:pPr>
              <w:spacing w:line="276" w:lineRule="auto"/>
              <w:rPr>
                <w:u w:val="single"/>
              </w:rPr>
            </w:pPr>
            <w:r w:rsidRPr="00B838F8">
              <w:rPr>
                <w:u w:val="single"/>
              </w:rPr>
              <w:t xml:space="preserve">Aktiviteter: </w:t>
            </w:r>
          </w:p>
          <w:p w:rsidR="00CC2A77" w:rsidRDefault="009330BE" w:rsidP="009330BE">
            <w:pPr>
              <w:spacing w:line="276" w:lineRule="auto"/>
            </w:pPr>
            <w:r>
              <w:t>Renovationsprojekter</w:t>
            </w:r>
            <w:r w:rsidR="00B838F8">
              <w:t xml:space="preserve"> som identificeret af myndighederne.</w:t>
            </w:r>
          </w:p>
        </w:tc>
        <w:tc>
          <w:tcPr>
            <w:tcW w:w="2153" w:type="dxa"/>
          </w:tcPr>
          <w:p w:rsidR="00B838F8" w:rsidRPr="00B838F8" w:rsidRDefault="00216387" w:rsidP="00395042">
            <w:pPr>
              <w:spacing w:line="276" w:lineRule="auto"/>
              <w:rPr>
                <w:u w:val="single"/>
              </w:rPr>
            </w:pPr>
            <w:r w:rsidRPr="00B838F8">
              <w:rPr>
                <w:u w:val="single"/>
              </w:rPr>
              <w:t xml:space="preserve">Aktiviteter: </w:t>
            </w:r>
          </w:p>
          <w:p w:rsidR="00CC2A77" w:rsidRDefault="00CC2A77" w:rsidP="00395042">
            <w:pPr>
              <w:spacing w:line="276" w:lineRule="auto"/>
            </w:pPr>
            <w:r w:rsidRPr="00FE1D64">
              <w:t>Overordnet renovering (3-4 års perspektiv).</w:t>
            </w:r>
          </w:p>
          <w:p w:rsidR="00CC2A77" w:rsidRDefault="00CC2A77" w:rsidP="00395042">
            <w:pPr>
              <w:spacing w:line="276" w:lineRule="auto"/>
            </w:pPr>
          </w:p>
          <w:p w:rsidR="00CC2A77" w:rsidRPr="00FE1D64" w:rsidRDefault="00CC2A77" w:rsidP="00395042">
            <w:pPr>
              <w:spacing w:line="276" w:lineRule="auto"/>
            </w:pPr>
          </w:p>
        </w:tc>
        <w:tc>
          <w:tcPr>
            <w:tcW w:w="1984" w:type="dxa"/>
          </w:tcPr>
          <w:p w:rsidR="00743D17" w:rsidRDefault="00743D17" w:rsidP="00395042">
            <w:pPr>
              <w:spacing w:line="276" w:lineRule="auto"/>
            </w:pPr>
          </w:p>
          <w:p w:rsidR="00CC2A77" w:rsidRPr="00FE1D64" w:rsidRDefault="00743D17" w:rsidP="00395042">
            <w:pPr>
              <w:spacing w:line="276" w:lineRule="auto"/>
            </w:pPr>
            <w:r>
              <w:t xml:space="preserve">DSIF, EBRD, EIB, NEFCO og </w:t>
            </w:r>
            <w:r w:rsidR="00172BB2">
              <w:t>civilsamfundsorganisationer</w:t>
            </w:r>
            <w:r>
              <w:t>.</w:t>
            </w:r>
          </w:p>
          <w:p w:rsidR="00CC2A77" w:rsidRDefault="00CC2A77" w:rsidP="00395042">
            <w:pPr>
              <w:spacing w:line="276" w:lineRule="auto"/>
            </w:pPr>
          </w:p>
        </w:tc>
      </w:tr>
      <w:tr w:rsidR="00CC2A77" w:rsidTr="00697DCD">
        <w:trPr>
          <w:trHeight w:val="2014"/>
        </w:trPr>
        <w:tc>
          <w:tcPr>
            <w:tcW w:w="1889" w:type="dxa"/>
          </w:tcPr>
          <w:p w:rsidR="00CC2A77" w:rsidRPr="00F424BF" w:rsidRDefault="00CC2A77" w:rsidP="00395042">
            <w:pPr>
              <w:spacing w:line="276" w:lineRule="auto"/>
              <w:rPr>
                <w:b/>
              </w:rPr>
            </w:pPr>
            <w:r w:rsidRPr="00F424BF">
              <w:rPr>
                <w:b/>
              </w:rPr>
              <w:t>Energiforsyning</w:t>
            </w:r>
          </w:p>
          <w:p w:rsidR="00CC2A77" w:rsidRDefault="00CC2A77" w:rsidP="00395042">
            <w:pPr>
              <w:spacing w:line="276" w:lineRule="auto"/>
            </w:pPr>
          </w:p>
        </w:tc>
        <w:tc>
          <w:tcPr>
            <w:tcW w:w="2247" w:type="dxa"/>
          </w:tcPr>
          <w:p w:rsidR="00743D17" w:rsidRPr="00743D17" w:rsidRDefault="00CE75AE" w:rsidP="00395042">
            <w:pPr>
              <w:spacing w:line="276" w:lineRule="auto"/>
              <w:rPr>
                <w:u w:val="single"/>
              </w:rPr>
            </w:pPr>
            <w:r w:rsidRPr="00743D17">
              <w:rPr>
                <w:u w:val="single"/>
              </w:rPr>
              <w:t xml:space="preserve">Aktiviteter: </w:t>
            </w:r>
            <w:r w:rsidR="00743D17" w:rsidRPr="00743D17">
              <w:rPr>
                <w:u w:val="single"/>
              </w:rPr>
              <w:t xml:space="preserve"> </w:t>
            </w:r>
          </w:p>
          <w:p w:rsidR="00CC2A77" w:rsidRPr="00FE1D64" w:rsidRDefault="00CC2A77" w:rsidP="00395042">
            <w:pPr>
              <w:spacing w:line="276" w:lineRule="auto"/>
            </w:pPr>
            <w:r w:rsidRPr="00FE1D64">
              <w:t>Fortsat levering af generatorer, varm</w:t>
            </w:r>
            <w:r w:rsidR="00AD521A">
              <w:t>ekedler</w:t>
            </w:r>
            <w:r w:rsidRPr="00FE1D64">
              <w:t xml:space="preserve"> m</w:t>
            </w:r>
            <w:r w:rsidR="00172BB2">
              <w:t>.</w:t>
            </w:r>
            <w:r w:rsidRPr="00FE1D64">
              <w:t>m.</w:t>
            </w:r>
          </w:p>
          <w:p w:rsidR="00CC2A77" w:rsidRDefault="00CC2A77" w:rsidP="00395042">
            <w:pPr>
              <w:spacing w:line="276" w:lineRule="auto"/>
            </w:pPr>
          </w:p>
        </w:tc>
        <w:tc>
          <w:tcPr>
            <w:tcW w:w="2075" w:type="dxa"/>
          </w:tcPr>
          <w:p w:rsidR="00743D17" w:rsidRPr="00743D17" w:rsidRDefault="00CE75AE" w:rsidP="00395042">
            <w:pPr>
              <w:spacing w:line="276" w:lineRule="auto"/>
              <w:rPr>
                <w:u w:val="single"/>
              </w:rPr>
            </w:pPr>
            <w:r w:rsidRPr="00743D17">
              <w:rPr>
                <w:u w:val="single"/>
              </w:rPr>
              <w:t xml:space="preserve">Aktiviteter: </w:t>
            </w:r>
          </w:p>
          <w:p w:rsidR="00743D17" w:rsidRDefault="00CC2A77" w:rsidP="00395042">
            <w:pPr>
              <w:spacing w:line="276" w:lineRule="auto"/>
            </w:pPr>
            <w:r w:rsidRPr="00FE1D64">
              <w:t>Fortsat levering</w:t>
            </w:r>
            <w:r w:rsidR="00172BB2">
              <w:t xml:space="preserve"> af udstyr og materiel</w:t>
            </w:r>
            <w:r w:rsidR="00EA7E4C">
              <w:t>.</w:t>
            </w:r>
          </w:p>
          <w:p w:rsidR="00CC2A77" w:rsidRDefault="00CC2A77" w:rsidP="00395042">
            <w:pPr>
              <w:spacing w:line="276" w:lineRule="auto"/>
            </w:pPr>
            <w:r w:rsidRPr="00FE1D64">
              <w:t xml:space="preserve">Renovering af eksisterende </w:t>
            </w:r>
            <w:r w:rsidR="00172BB2">
              <w:t>fjernvarme</w:t>
            </w:r>
            <w:r w:rsidRPr="00FE1D64">
              <w:t>forsyningssystem.</w:t>
            </w:r>
          </w:p>
          <w:p w:rsidR="00743D17" w:rsidRPr="00FE1D64" w:rsidRDefault="00743D17" w:rsidP="00395042">
            <w:pPr>
              <w:spacing w:line="276" w:lineRule="auto"/>
            </w:pPr>
            <w:r w:rsidRPr="00FE1D64">
              <w:t>Afprøvnin</w:t>
            </w:r>
            <w:r>
              <w:t>g af vedvarende energiløsninger.</w:t>
            </w:r>
          </w:p>
        </w:tc>
        <w:tc>
          <w:tcPr>
            <w:tcW w:w="2153" w:type="dxa"/>
          </w:tcPr>
          <w:p w:rsidR="00743D17" w:rsidRPr="00743D17" w:rsidRDefault="00CE75AE" w:rsidP="00395042">
            <w:pPr>
              <w:spacing w:line="276" w:lineRule="auto"/>
              <w:rPr>
                <w:u w:val="single"/>
              </w:rPr>
            </w:pPr>
            <w:r w:rsidRPr="00743D17">
              <w:rPr>
                <w:u w:val="single"/>
              </w:rPr>
              <w:t xml:space="preserve">Aktiviteter: </w:t>
            </w:r>
          </w:p>
          <w:p w:rsidR="00CC2A77" w:rsidRPr="00FE1D64" w:rsidRDefault="00CC2A77" w:rsidP="00395042">
            <w:pPr>
              <w:spacing w:line="276" w:lineRule="auto"/>
            </w:pPr>
            <w:r w:rsidRPr="00FE1D64">
              <w:t>Introduktion af langsig</w:t>
            </w:r>
            <w:r w:rsidR="00743D17">
              <w:t xml:space="preserve">tede vedvarende energiløsninger, inkl. </w:t>
            </w:r>
            <w:r w:rsidR="00EA7E4C">
              <w:t>b</w:t>
            </w:r>
            <w:r w:rsidR="00743D17">
              <w:t>iogas</w:t>
            </w:r>
            <w:r w:rsidR="007B045D">
              <w:t>.</w:t>
            </w:r>
          </w:p>
          <w:p w:rsidR="00CC2A77" w:rsidRDefault="00CC2A77" w:rsidP="00395042">
            <w:pPr>
              <w:spacing w:line="276" w:lineRule="auto"/>
            </w:pPr>
          </w:p>
          <w:p w:rsidR="00CC2A77" w:rsidRDefault="00CC2A77" w:rsidP="00395042">
            <w:pPr>
              <w:spacing w:line="276" w:lineRule="auto"/>
            </w:pPr>
          </w:p>
          <w:p w:rsidR="00CC2A77" w:rsidRPr="00FE1D64" w:rsidRDefault="00CC2A77" w:rsidP="00395042">
            <w:pPr>
              <w:spacing w:line="276" w:lineRule="auto"/>
            </w:pPr>
          </w:p>
        </w:tc>
        <w:tc>
          <w:tcPr>
            <w:tcW w:w="1984" w:type="dxa"/>
          </w:tcPr>
          <w:p w:rsidR="00CC2A77" w:rsidRDefault="00CC2A77" w:rsidP="00395042">
            <w:pPr>
              <w:spacing w:line="276" w:lineRule="auto"/>
            </w:pPr>
            <w:r w:rsidRPr="00FE1D64">
              <w:t xml:space="preserve">UNOPS, EBRD, </w:t>
            </w:r>
            <w:r w:rsidR="008A7B41">
              <w:t xml:space="preserve">EIB, </w:t>
            </w:r>
            <w:r w:rsidRPr="00FE1D64">
              <w:t>DSIF.</w:t>
            </w:r>
          </w:p>
          <w:p w:rsidR="00172BB2" w:rsidRPr="00FE1D64" w:rsidRDefault="00172BB2" w:rsidP="00395042">
            <w:pPr>
              <w:spacing w:line="276" w:lineRule="auto"/>
            </w:pPr>
            <w:r>
              <w:t>Energistyrelsen</w:t>
            </w:r>
            <w:r w:rsidR="00935CBC">
              <w:t>.</w:t>
            </w:r>
          </w:p>
          <w:p w:rsidR="00CC2A77" w:rsidRDefault="00CC2A77" w:rsidP="00395042">
            <w:pPr>
              <w:spacing w:line="276" w:lineRule="auto"/>
            </w:pPr>
          </w:p>
          <w:p w:rsidR="00CC2A77" w:rsidRDefault="00CC2A77" w:rsidP="00395042">
            <w:pPr>
              <w:spacing w:line="276" w:lineRule="auto"/>
            </w:pPr>
          </w:p>
          <w:p w:rsidR="00CC2A77" w:rsidRDefault="00CC2A77" w:rsidP="00395042">
            <w:pPr>
              <w:spacing w:line="276" w:lineRule="auto"/>
            </w:pPr>
          </w:p>
          <w:p w:rsidR="00CC2A77" w:rsidRPr="00FE1D64" w:rsidRDefault="00CC2A77" w:rsidP="00395042">
            <w:pPr>
              <w:spacing w:line="276" w:lineRule="auto"/>
              <w:ind w:firstLine="1304"/>
            </w:pPr>
          </w:p>
        </w:tc>
      </w:tr>
      <w:tr w:rsidR="00667645" w:rsidRPr="003B6923" w:rsidTr="00697DCD">
        <w:tc>
          <w:tcPr>
            <w:tcW w:w="1889" w:type="dxa"/>
            <w:vMerge w:val="restart"/>
          </w:tcPr>
          <w:p w:rsidR="00667645" w:rsidRPr="00F424BF" w:rsidRDefault="00667645" w:rsidP="00395042">
            <w:pPr>
              <w:spacing w:line="276" w:lineRule="auto"/>
              <w:rPr>
                <w:b/>
              </w:rPr>
            </w:pPr>
            <w:r w:rsidRPr="00F424BF">
              <w:rPr>
                <w:b/>
              </w:rPr>
              <w:lastRenderedPageBreak/>
              <w:t>Landbrug</w:t>
            </w:r>
          </w:p>
          <w:p w:rsidR="00667645" w:rsidRPr="00F424BF" w:rsidRDefault="00667645" w:rsidP="00395042">
            <w:pPr>
              <w:spacing w:line="276" w:lineRule="auto"/>
              <w:rPr>
                <w:b/>
              </w:rPr>
            </w:pPr>
          </w:p>
        </w:tc>
        <w:tc>
          <w:tcPr>
            <w:tcW w:w="8459" w:type="dxa"/>
            <w:gridSpan w:val="4"/>
          </w:tcPr>
          <w:p w:rsidR="00667645" w:rsidRPr="00412F82" w:rsidRDefault="00667645" w:rsidP="00395042">
            <w:pPr>
              <w:spacing w:line="276" w:lineRule="auto"/>
            </w:pPr>
            <w:r w:rsidRPr="000D5CD4">
              <w:rPr>
                <w:u w:val="single"/>
              </w:rPr>
              <w:t>Målsætning:</w:t>
            </w:r>
            <w:r w:rsidR="00C60D85" w:rsidRPr="00412F82">
              <w:t xml:space="preserve"> </w:t>
            </w:r>
            <w:r w:rsidR="00A840A1">
              <w:t>A</w:t>
            </w:r>
            <w:r w:rsidR="00C60D85" w:rsidRPr="00412F82">
              <w:t>t støtte genetablering af landbrugssektoren</w:t>
            </w:r>
            <w:r w:rsidR="00A840A1">
              <w:t xml:space="preserve"> </w:t>
            </w:r>
            <w:r w:rsidR="00834CF0">
              <w:t xml:space="preserve">lokalt </w:t>
            </w:r>
            <w:r w:rsidR="00A840A1">
              <w:t>med fokus på</w:t>
            </w:r>
            <w:r w:rsidR="00C60D85" w:rsidRPr="00412F82">
              <w:t xml:space="preserve"> </w:t>
            </w:r>
            <w:r w:rsidR="00412F82" w:rsidRPr="00412F82">
              <w:t xml:space="preserve">at </w:t>
            </w:r>
            <w:r w:rsidR="00AD521A">
              <w:t xml:space="preserve">øge beskæftigelsen og bidrage til </w:t>
            </w:r>
            <w:r w:rsidR="00412F82" w:rsidRPr="00412F82">
              <w:t>gøre</w:t>
            </w:r>
            <w:r w:rsidR="00C60D85" w:rsidRPr="00412F82">
              <w:t xml:space="preserve"> </w:t>
            </w:r>
            <w:r w:rsidR="00412F82">
              <w:t>sektoren</w:t>
            </w:r>
            <w:r w:rsidR="00C60D85" w:rsidRPr="00412F82">
              <w:t xml:space="preserve"> bæredygtig, energieffektiv og potentielt baseret på vedvarende energi og grønnere løsninger</w:t>
            </w:r>
            <w:r w:rsidR="001852B6">
              <w:t>.</w:t>
            </w:r>
          </w:p>
        </w:tc>
      </w:tr>
      <w:tr w:rsidR="00CC2A77" w:rsidRPr="009330BE" w:rsidTr="00697DCD">
        <w:tc>
          <w:tcPr>
            <w:tcW w:w="1889" w:type="dxa"/>
            <w:vMerge/>
          </w:tcPr>
          <w:p w:rsidR="00CC2A77" w:rsidRDefault="00CC2A77" w:rsidP="00395042">
            <w:pPr>
              <w:spacing w:line="276" w:lineRule="auto"/>
            </w:pPr>
          </w:p>
        </w:tc>
        <w:tc>
          <w:tcPr>
            <w:tcW w:w="2247" w:type="dxa"/>
          </w:tcPr>
          <w:p w:rsidR="008A7B41" w:rsidRPr="000D5CD4" w:rsidRDefault="001852B6" w:rsidP="00395042">
            <w:pPr>
              <w:spacing w:line="276" w:lineRule="auto"/>
              <w:rPr>
                <w:u w:val="single"/>
              </w:rPr>
            </w:pPr>
            <w:r w:rsidRPr="000D5CD4">
              <w:rPr>
                <w:u w:val="single"/>
              </w:rPr>
              <w:t xml:space="preserve">Aktiviteter: </w:t>
            </w:r>
          </w:p>
          <w:p w:rsidR="00AD521A" w:rsidRDefault="00AD521A" w:rsidP="00395042">
            <w:pPr>
              <w:spacing w:line="276" w:lineRule="auto"/>
            </w:pPr>
            <w:r>
              <w:t>M</w:t>
            </w:r>
            <w:r w:rsidR="00CC2A77" w:rsidRPr="00FE1D64">
              <w:t xml:space="preserve">inerydning af landbrugsområder. </w:t>
            </w:r>
          </w:p>
          <w:p w:rsidR="00CC2A77" w:rsidRDefault="00CC2A77" w:rsidP="00395042">
            <w:pPr>
              <w:spacing w:line="276" w:lineRule="auto"/>
            </w:pPr>
            <w:r w:rsidRPr="00FE1D64">
              <w:t>Strategi-udvikling for bioenergi.</w:t>
            </w:r>
          </w:p>
          <w:p w:rsidR="00AD521A" w:rsidRPr="00FE1D64" w:rsidRDefault="00AD521A" w:rsidP="00395042">
            <w:pPr>
              <w:spacing w:line="276" w:lineRule="auto"/>
            </w:pPr>
            <w:r>
              <w:t xml:space="preserve">Bidrag til støttemekanismer til genetablering af </w:t>
            </w:r>
            <w:r w:rsidRPr="00FE1D64">
              <w:t>udstyr</w:t>
            </w:r>
            <w:r>
              <w:t xml:space="preserve"> og </w:t>
            </w:r>
            <w:r w:rsidRPr="00FE1D64">
              <w:t>produktions-faciliteter</w:t>
            </w:r>
            <w:r w:rsidR="007B045D">
              <w:t>.</w:t>
            </w:r>
          </w:p>
          <w:p w:rsidR="00CC2A77" w:rsidRDefault="00CC2A77" w:rsidP="00395042">
            <w:pPr>
              <w:spacing w:line="276" w:lineRule="auto"/>
            </w:pPr>
          </w:p>
        </w:tc>
        <w:tc>
          <w:tcPr>
            <w:tcW w:w="2075" w:type="dxa"/>
          </w:tcPr>
          <w:p w:rsidR="008A7B41" w:rsidRPr="000D5CD4" w:rsidRDefault="001852B6" w:rsidP="00395042">
            <w:pPr>
              <w:spacing w:line="276" w:lineRule="auto"/>
              <w:rPr>
                <w:u w:val="single"/>
              </w:rPr>
            </w:pPr>
            <w:r w:rsidRPr="000D5CD4">
              <w:rPr>
                <w:u w:val="single"/>
              </w:rPr>
              <w:t xml:space="preserve">Aktiviteter: </w:t>
            </w:r>
          </w:p>
          <w:p w:rsidR="00AD521A" w:rsidRDefault="00CC2A77" w:rsidP="00395042">
            <w:pPr>
              <w:spacing w:line="276" w:lineRule="auto"/>
            </w:pPr>
            <w:r w:rsidRPr="00FE1D64">
              <w:t xml:space="preserve">Fortsat minerydning og genopbygning. </w:t>
            </w:r>
          </w:p>
          <w:p w:rsidR="00AD521A" w:rsidRDefault="00AD521A" w:rsidP="00395042">
            <w:pPr>
              <w:spacing w:line="276" w:lineRule="auto"/>
            </w:pPr>
          </w:p>
          <w:p w:rsidR="00CC2A77" w:rsidRPr="00FE1D64" w:rsidRDefault="00AD521A" w:rsidP="00A46C6C">
            <w:pPr>
              <w:spacing w:line="276" w:lineRule="auto"/>
            </w:pPr>
            <w:r>
              <w:t>Om muligt bidrag til g</w:t>
            </w:r>
            <w:r w:rsidR="00CC2A77" w:rsidRPr="00FE1D64">
              <w:t>enopbygning af kornlogistik for at genstarte eksportforsendelser fra Mykolaiv.</w:t>
            </w:r>
          </w:p>
        </w:tc>
        <w:tc>
          <w:tcPr>
            <w:tcW w:w="2153" w:type="dxa"/>
          </w:tcPr>
          <w:p w:rsidR="008A7B41" w:rsidRPr="000D5CD4" w:rsidRDefault="001852B6" w:rsidP="00395042">
            <w:pPr>
              <w:spacing w:line="276" w:lineRule="auto"/>
              <w:rPr>
                <w:u w:val="single"/>
              </w:rPr>
            </w:pPr>
            <w:r w:rsidRPr="000D5CD4">
              <w:rPr>
                <w:u w:val="single"/>
              </w:rPr>
              <w:t xml:space="preserve">Aktiviteter: </w:t>
            </w:r>
          </w:p>
          <w:p w:rsidR="00743D17" w:rsidRDefault="00CC2A77" w:rsidP="00395042">
            <w:pPr>
              <w:spacing w:line="276" w:lineRule="auto"/>
            </w:pPr>
            <w:r w:rsidRPr="00FE1D64">
              <w:t xml:space="preserve">Fortsat minerydning og genopbygning. </w:t>
            </w:r>
          </w:p>
          <w:p w:rsidR="00AD521A" w:rsidRDefault="00AD521A" w:rsidP="00395042">
            <w:pPr>
              <w:spacing w:line="276" w:lineRule="auto"/>
            </w:pPr>
          </w:p>
          <w:p w:rsidR="00CC2A77" w:rsidRPr="00FE1D64" w:rsidRDefault="00CC2A77" w:rsidP="00395042">
            <w:pPr>
              <w:spacing w:line="276" w:lineRule="auto"/>
            </w:pPr>
            <w:r w:rsidRPr="00FE1D64">
              <w:t>Etablering af biogas-enheder.</w:t>
            </w:r>
          </w:p>
          <w:p w:rsidR="00CC2A77" w:rsidRDefault="00CC2A77" w:rsidP="00395042">
            <w:pPr>
              <w:spacing w:line="276" w:lineRule="auto"/>
            </w:pPr>
          </w:p>
          <w:p w:rsidR="00CC2A77" w:rsidRPr="00FE1D64" w:rsidRDefault="00CC2A77" w:rsidP="00395042">
            <w:pPr>
              <w:spacing w:line="276" w:lineRule="auto"/>
              <w:jc w:val="center"/>
            </w:pPr>
          </w:p>
        </w:tc>
        <w:tc>
          <w:tcPr>
            <w:tcW w:w="1984" w:type="dxa"/>
          </w:tcPr>
          <w:p w:rsidR="008A7B41" w:rsidRPr="00276CB3" w:rsidRDefault="008A7B41" w:rsidP="00395042">
            <w:pPr>
              <w:spacing w:line="276" w:lineRule="auto"/>
            </w:pPr>
          </w:p>
          <w:p w:rsidR="00CC2A77" w:rsidRPr="009330BE" w:rsidRDefault="009330BE" w:rsidP="00395042">
            <w:pPr>
              <w:spacing w:line="276" w:lineRule="auto"/>
            </w:pPr>
            <w:r w:rsidRPr="009330BE">
              <w:t>WFP, FAO</w:t>
            </w:r>
            <w:r w:rsidR="00CC2A77" w:rsidRPr="009330BE">
              <w:t>, EIFO, IFU, NEFCO</w:t>
            </w:r>
            <w:r w:rsidR="00E97115">
              <w:t>,</w:t>
            </w:r>
            <w:r w:rsidRPr="009330BE">
              <w:t xml:space="preserve"> Danske hum</w:t>
            </w:r>
            <w:r w:rsidR="00EA7E4C">
              <w:t>an</w:t>
            </w:r>
            <w:r w:rsidRPr="009330BE">
              <w:t>itære organisationer/civilsamfundsorganisationer</w:t>
            </w:r>
            <w:r w:rsidR="00CC2A77" w:rsidRPr="009330BE">
              <w:t>.</w:t>
            </w:r>
          </w:p>
          <w:p w:rsidR="00CC2A77" w:rsidRPr="009330BE" w:rsidRDefault="00CC2A77" w:rsidP="00395042">
            <w:pPr>
              <w:spacing w:line="276" w:lineRule="auto"/>
            </w:pPr>
          </w:p>
        </w:tc>
      </w:tr>
      <w:tr w:rsidR="00667645" w:rsidTr="00697DCD">
        <w:tc>
          <w:tcPr>
            <w:tcW w:w="1889" w:type="dxa"/>
            <w:vMerge w:val="restart"/>
          </w:tcPr>
          <w:p w:rsidR="00667645" w:rsidRPr="00F424BF" w:rsidRDefault="00667645" w:rsidP="00395042">
            <w:pPr>
              <w:spacing w:line="276" w:lineRule="auto"/>
              <w:rPr>
                <w:b/>
              </w:rPr>
            </w:pPr>
            <w:r w:rsidRPr="00F424BF">
              <w:rPr>
                <w:b/>
              </w:rPr>
              <w:t>Masterplan</w:t>
            </w:r>
          </w:p>
          <w:p w:rsidR="00667645" w:rsidRPr="00F424BF" w:rsidRDefault="00667645" w:rsidP="00395042">
            <w:pPr>
              <w:spacing w:line="276" w:lineRule="auto"/>
              <w:rPr>
                <w:b/>
              </w:rPr>
            </w:pPr>
          </w:p>
        </w:tc>
        <w:tc>
          <w:tcPr>
            <w:tcW w:w="8459" w:type="dxa"/>
            <w:gridSpan w:val="4"/>
          </w:tcPr>
          <w:p w:rsidR="00667645" w:rsidRPr="00FE1D64" w:rsidRDefault="00667645" w:rsidP="00395042">
            <w:pPr>
              <w:spacing w:line="276" w:lineRule="auto"/>
            </w:pPr>
            <w:r w:rsidRPr="008A7B41">
              <w:rPr>
                <w:u w:val="single"/>
              </w:rPr>
              <w:t>Målsætning:</w:t>
            </w:r>
            <w:r w:rsidR="00873583">
              <w:t xml:space="preserve"> At </w:t>
            </w:r>
            <w:r w:rsidR="00AD521A">
              <w:t>st</w:t>
            </w:r>
            <w:r w:rsidR="007A43D8">
              <w:t>øtte</w:t>
            </w:r>
            <w:r w:rsidR="009330BE">
              <w:t xml:space="preserve"> </w:t>
            </w:r>
            <w:r w:rsidR="00AD521A">
              <w:t xml:space="preserve">udarbejdelse af en </w:t>
            </w:r>
            <w:r w:rsidR="004C61DA">
              <w:t xml:space="preserve">overordnet </w:t>
            </w:r>
            <w:r w:rsidR="007F75A1">
              <w:t>Master</w:t>
            </w:r>
            <w:r w:rsidR="004C61DA">
              <w:t xml:space="preserve">plan med </w:t>
            </w:r>
            <w:r w:rsidR="007A43D8">
              <w:t xml:space="preserve">klare, konkrete </w:t>
            </w:r>
            <w:r w:rsidR="004C61DA">
              <w:t xml:space="preserve">prioriteter </w:t>
            </w:r>
            <w:r w:rsidR="00AD521A">
              <w:t>for en grø</w:t>
            </w:r>
            <w:r w:rsidR="009330BE">
              <w:t xml:space="preserve">nnere og bedre genopbygning </w:t>
            </w:r>
            <w:r w:rsidR="00AD521A">
              <w:t>med fokus på infrastruktur, energi og vand.</w:t>
            </w:r>
            <w:r w:rsidR="007A43D8">
              <w:t xml:space="preserve"> </w:t>
            </w:r>
          </w:p>
        </w:tc>
      </w:tr>
      <w:tr w:rsidR="00CC2A77" w:rsidRPr="004B39CC" w:rsidTr="00697DCD">
        <w:tc>
          <w:tcPr>
            <w:tcW w:w="1889" w:type="dxa"/>
            <w:vMerge/>
          </w:tcPr>
          <w:p w:rsidR="00CC2A77" w:rsidRDefault="00CC2A77" w:rsidP="00395042">
            <w:pPr>
              <w:spacing w:line="276" w:lineRule="auto"/>
            </w:pPr>
          </w:p>
        </w:tc>
        <w:tc>
          <w:tcPr>
            <w:tcW w:w="2247" w:type="dxa"/>
          </w:tcPr>
          <w:p w:rsidR="008A7B41" w:rsidRDefault="00CC2A77" w:rsidP="00395042">
            <w:pPr>
              <w:spacing w:line="276" w:lineRule="auto"/>
            </w:pPr>
            <w:r w:rsidRPr="008A7B41">
              <w:rPr>
                <w:u w:val="single"/>
              </w:rPr>
              <w:t>Aktiviteter:</w:t>
            </w:r>
            <w:r w:rsidR="007A43D8">
              <w:t xml:space="preserve"> </w:t>
            </w:r>
          </w:p>
          <w:p w:rsidR="00CC2A77" w:rsidRDefault="00935CBC" w:rsidP="00935CBC">
            <w:pPr>
              <w:spacing w:line="276" w:lineRule="auto"/>
            </w:pPr>
            <w:r>
              <w:t>B</w:t>
            </w:r>
            <w:r w:rsidR="007F75A1">
              <w:t>idrage til udv</w:t>
            </w:r>
            <w:r w:rsidR="00955575">
              <w:t>ikling</w:t>
            </w:r>
            <w:r w:rsidR="007F75A1">
              <w:t xml:space="preserve"> af Masterplan med særlig fokus på infrastruktur, energi og vand. </w:t>
            </w:r>
          </w:p>
        </w:tc>
        <w:tc>
          <w:tcPr>
            <w:tcW w:w="2075" w:type="dxa"/>
          </w:tcPr>
          <w:p w:rsidR="008A7B41" w:rsidRDefault="007A43D8" w:rsidP="00395042">
            <w:pPr>
              <w:spacing w:line="276" w:lineRule="auto"/>
            </w:pPr>
            <w:r w:rsidRPr="008A7B41">
              <w:rPr>
                <w:u w:val="single"/>
              </w:rPr>
              <w:t>Aktiviteter:</w:t>
            </w:r>
            <w:r>
              <w:t xml:space="preserve"> </w:t>
            </w:r>
          </w:p>
          <w:p w:rsidR="00CC2A77" w:rsidRPr="00FE1D64" w:rsidRDefault="00CC2A77" w:rsidP="00395042">
            <w:pPr>
              <w:spacing w:line="276" w:lineRule="auto"/>
            </w:pPr>
            <w:r w:rsidRPr="00FE1D64">
              <w:t>Sektor-studie</w:t>
            </w:r>
            <w:r w:rsidR="00955575">
              <w:t>r</w:t>
            </w:r>
            <w:r w:rsidRPr="00FE1D64">
              <w:t xml:space="preserve"> og forundersøgelse baseret på overordnede prioriteter i Masterplanen.</w:t>
            </w:r>
          </w:p>
        </w:tc>
        <w:tc>
          <w:tcPr>
            <w:tcW w:w="2153" w:type="dxa"/>
          </w:tcPr>
          <w:p w:rsidR="008A7B41" w:rsidRDefault="007A43D8" w:rsidP="00395042">
            <w:pPr>
              <w:spacing w:line="276" w:lineRule="auto"/>
            </w:pPr>
            <w:r w:rsidRPr="008A7B41">
              <w:rPr>
                <w:u w:val="single"/>
              </w:rPr>
              <w:t>Aktiviteter:</w:t>
            </w:r>
            <w:r>
              <w:t xml:space="preserve"> </w:t>
            </w:r>
          </w:p>
          <w:p w:rsidR="00CC2A77" w:rsidRPr="00FE1D64" w:rsidRDefault="00CC2A77" w:rsidP="00395042">
            <w:pPr>
              <w:spacing w:line="276" w:lineRule="auto"/>
            </w:pPr>
            <w:r w:rsidRPr="00FE1D64">
              <w:t>Sektor-studie</w:t>
            </w:r>
            <w:r w:rsidR="00955575">
              <w:t>r</w:t>
            </w:r>
            <w:r w:rsidRPr="00FE1D64">
              <w:t xml:space="preserve"> og forundersøgelse baseret på overordnede prioriteter i Masterplanen.</w:t>
            </w:r>
          </w:p>
        </w:tc>
        <w:tc>
          <w:tcPr>
            <w:tcW w:w="1984" w:type="dxa"/>
          </w:tcPr>
          <w:p w:rsidR="008A7B41" w:rsidRPr="00736B06" w:rsidRDefault="008A7B41" w:rsidP="00395042">
            <w:pPr>
              <w:spacing w:line="276" w:lineRule="auto"/>
            </w:pPr>
          </w:p>
          <w:p w:rsidR="00CC2A77" w:rsidRPr="008A7B41" w:rsidRDefault="0052713A" w:rsidP="00395042">
            <w:pPr>
              <w:spacing w:line="276" w:lineRule="auto"/>
              <w:rPr>
                <w:lang w:val="en-US"/>
              </w:rPr>
            </w:pPr>
            <w:r>
              <w:rPr>
                <w:lang w:val="en-US"/>
              </w:rPr>
              <w:t>COWI, UNEC</w:t>
            </w:r>
            <w:r w:rsidR="009330BE">
              <w:rPr>
                <w:lang w:val="en-US"/>
              </w:rPr>
              <w:t>E</w:t>
            </w:r>
            <w:r w:rsidR="008A7B41" w:rsidRPr="008A7B41">
              <w:rPr>
                <w:lang w:val="en-US"/>
              </w:rPr>
              <w:t>, OneWorks</w:t>
            </w:r>
            <w:r w:rsidR="00EA7E4C">
              <w:rPr>
                <w:lang w:val="en-US"/>
              </w:rPr>
              <w:t>,</w:t>
            </w:r>
            <w:r w:rsidR="008A7B41" w:rsidRPr="008A7B41">
              <w:rPr>
                <w:lang w:val="en-US"/>
              </w:rPr>
              <w:t xml:space="preserve"> UNDP</w:t>
            </w:r>
            <w:r w:rsidR="009330BE">
              <w:rPr>
                <w:lang w:val="en-US"/>
              </w:rPr>
              <w:t xml:space="preserve"> m.fl.</w:t>
            </w:r>
          </w:p>
          <w:p w:rsidR="00CC2A77" w:rsidRPr="008A7B41" w:rsidRDefault="00CC2A77" w:rsidP="00395042">
            <w:pPr>
              <w:spacing w:line="276" w:lineRule="auto"/>
              <w:rPr>
                <w:lang w:val="en-US"/>
              </w:rPr>
            </w:pPr>
          </w:p>
          <w:p w:rsidR="00CC2A77" w:rsidRPr="008A7B41" w:rsidRDefault="00CC2A77" w:rsidP="00395042">
            <w:pPr>
              <w:spacing w:line="276" w:lineRule="auto"/>
              <w:jc w:val="center"/>
              <w:rPr>
                <w:lang w:val="en-US"/>
              </w:rPr>
            </w:pPr>
          </w:p>
        </w:tc>
      </w:tr>
    </w:tbl>
    <w:p w:rsidR="00CC2A77" w:rsidRPr="008A7B41" w:rsidRDefault="00CC2A77" w:rsidP="00395042">
      <w:pPr>
        <w:rPr>
          <w:lang w:val="en-US"/>
        </w:rPr>
      </w:pPr>
    </w:p>
    <w:p w:rsidR="00CC2A77" w:rsidRDefault="00CC2A77" w:rsidP="00395042">
      <w:r w:rsidRPr="008F6FE8">
        <w:rPr>
          <w:b/>
        </w:rPr>
        <w:t>Nationalt/Ukraine generelt</w:t>
      </w:r>
    </w:p>
    <w:tbl>
      <w:tblPr>
        <w:tblStyle w:val="Tabel-Gitter"/>
        <w:tblW w:w="10348" w:type="dxa"/>
        <w:tblInd w:w="-5" w:type="dxa"/>
        <w:tblLook w:val="04A0" w:firstRow="1" w:lastRow="0" w:firstColumn="1" w:lastColumn="0" w:noHBand="0" w:noVBand="1"/>
      </w:tblPr>
      <w:tblGrid>
        <w:gridCol w:w="2031"/>
        <w:gridCol w:w="1715"/>
        <w:gridCol w:w="2400"/>
        <w:gridCol w:w="2306"/>
        <w:gridCol w:w="1896"/>
      </w:tblGrid>
      <w:tr w:rsidR="00CC2A77" w:rsidTr="00697DCD">
        <w:tc>
          <w:tcPr>
            <w:tcW w:w="2091" w:type="dxa"/>
          </w:tcPr>
          <w:p w:rsidR="00CC2A77" w:rsidRPr="00FE1D64" w:rsidRDefault="00CC2A77" w:rsidP="00395042">
            <w:pPr>
              <w:spacing w:line="276" w:lineRule="auto"/>
            </w:pPr>
            <w:r w:rsidRPr="00FE1D64">
              <w:rPr>
                <w:b/>
                <w:bCs/>
              </w:rPr>
              <w:t>Sektor</w:t>
            </w:r>
          </w:p>
          <w:p w:rsidR="00CC2A77" w:rsidRDefault="00CC2A77" w:rsidP="00395042">
            <w:pPr>
              <w:spacing w:line="276" w:lineRule="auto"/>
            </w:pPr>
          </w:p>
        </w:tc>
        <w:tc>
          <w:tcPr>
            <w:tcW w:w="1764" w:type="dxa"/>
          </w:tcPr>
          <w:p w:rsidR="00CC2A77" w:rsidRPr="00FE1D64" w:rsidRDefault="00CC2A77" w:rsidP="00395042">
            <w:pPr>
              <w:spacing w:line="276" w:lineRule="auto"/>
            </w:pPr>
            <w:r w:rsidRPr="00FE1D64">
              <w:rPr>
                <w:b/>
                <w:bCs/>
              </w:rPr>
              <w:t>Kortsigtet 2023</w:t>
            </w:r>
          </w:p>
          <w:p w:rsidR="00CC2A77" w:rsidRDefault="00CC2A77" w:rsidP="00395042">
            <w:pPr>
              <w:spacing w:line="276" w:lineRule="auto"/>
            </w:pPr>
          </w:p>
        </w:tc>
        <w:tc>
          <w:tcPr>
            <w:tcW w:w="2409" w:type="dxa"/>
          </w:tcPr>
          <w:p w:rsidR="00CC2A77" w:rsidRPr="00FE1D64" w:rsidRDefault="00CC2A77" w:rsidP="00395042">
            <w:pPr>
              <w:spacing w:line="276" w:lineRule="auto"/>
            </w:pPr>
            <w:r w:rsidRPr="00FE1D64">
              <w:rPr>
                <w:b/>
                <w:bCs/>
              </w:rPr>
              <w:t>Medium-sigtet 2023</w:t>
            </w:r>
            <w:r w:rsidR="00206DED">
              <w:rPr>
                <w:b/>
                <w:bCs/>
              </w:rPr>
              <w:t>-24</w:t>
            </w:r>
          </w:p>
          <w:p w:rsidR="00CC2A77" w:rsidRDefault="00CC2A77" w:rsidP="00395042">
            <w:pPr>
              <w:spacing w:line="276" w:lineRule="auto"/>
            </w:pPr>
          </w:p>
        </w:tc>
        <w:tc>
          <w:tcPr>
            <w:tcW w:w="2383" w:type="dxa"/>
          </w:tcPr>
          <w:p w:rsidR="00CC2A77" w:rsidRPr="00FE1D64" w:rsidRDefault="00206DED" w:rsidP="00395042">
            <w:pPr>
              <w:spacing w:line="276" w:lineRule="auto"/>
            </w:pPr>
            <w:r>
              <w:rPr>
                <w:b/>
                <w:bCs/>
              </w:rPr>
              <w:t>Langsigtet 2025-</w:t>
            </w:r>
          </w:p>
          <w:p w:rsidR="00CC2A77" w:rsidRDefault="00CC2A77" w:rsidP="00395042">
            <w:pPr>
              <w:spacing w:line="276" w:lineRule="auto"/>
            </w:pPr>
          </w:p>
        </w:tc>
        <w:tc>
          <w:tcPr>
            <w:tcW w:w="1701" w:type="dxa"/>
          </w:tcPr>
          <w:p w:rsidR="00CC2A77" w:rsidRDefault="00B838F8" w:rsidP="00395042">
            <w:pPr>
              <w:spacing w:line="276" w:lineRule="auto"/>
              <w:rPr>
                <w:b/>
                <w:bCs/>
              </w:rPr>
            </w:pPr>
            <w:r>
              <w:rPr>
                <w:b/>
                <w:bCs/>
              </w:rPr>
              <w:t>Mulige i</w:t>
            </w:r>
            <w:r w:rsidR="00CC2A77">
              <w:rPr>
                <w:b/>
                <w:bCs/>
              </w:rPr>
              <w:t>mpl</w:t>
            </w:r>
            <w:r w:rsidR="008364FA">
              <w:rPr>
                <w:b/>
                <w:bCs/>
              </w:rPr>
              <w:t>ementerende</w:t>
            </w:r>
          </w:p>
          <w:p w:rsidR="00CC2A77" w:rsidRDefault="008364FA" w:rsidP="00395042">
            <w:pPr>
              <w:spacing w:line="276" w:lineRule="auto"/>
            </w:pPr>
            <w:r w:rsidRPr="00FE1D64">
              <w:rPr>
                <w:b/>
                <w:bCs/>
              </w:rPr>
              <w:t>P</w:t>
            </w:r>
            <w:r w:rsidR="00CC2A77" w:rsidRPr="00FE1D64">
              <w:rPr>
                <w:b/>
                <w:bCs/>
              </w:rPr>
              <w:t>artnere</w:t>
            </w:r>
          </w:p>
        </w:tc>
      </w:tr>
      <w:tr w:rsidR="00667645" w:rsidTr="00697DCD">
        <w:tc>
          <w:tcPr>
            <w:tcW w:w="2091" w:type="dxa"/>
            <w:vMerge w:val="restart"/>
          </w:tcPr>
          <w:p w:rsidR="00667645" w:rsidRPr="00F424BF" w:rsidRDefault="00667645" w:rsidP="00395042">
            <w:pPr>
              <w:spacing w:line="276" w:lineRule="auto"/>
              <w:rPr>
                <w:b/>
              </w:rPr>
            </w:pPr>
            <w:r w:rsidRPr="00F424BF">
              <w:rPr>
                <w:b/>
              </w:rPr>
              <w:t>Energiforsyning</w:t>
            </w:r>
          </w:p>
          <w:p w:rsidR="00667645" w:rsidRPr="00F424BF" w:rsidRDefault="00667645" w:rsidP="00395042">
            <w:pPr>
              <w:spacing w:line="276" w:lineRule="auto"/>
              <w:rPr>
                <w:b/>
              </w:rPr>
            </w:pPr>
          </w:p>
          <w:p w:rsidR="00667645" w:rsidRPr="00F424BF" w:rsidRDefault="00667645" w:rsidP="00395042">
            <w:pPr>
              <w:spacing w:line="276" w:lineRule="auto"/>
              <w:rPr>
                <w:b/>
              </w:rPr>
            </w:pPr>
          </w:p>
        </w:tc>
        <w:tc>
          <w:tcPr>
            <w:tcW w:w="8257" w:type="dxa"/>
            <w:gridSpan w:val="4"/>
          </w:tcPr>
          <w:p w:rsidR="00667645" w:rsidRPr="00F424BF" w:rsidRDefault="00667645" w:rsidP="00395042">
            <w:pPr>
              <w:spacing w:line="276" w:lineRule="auto"/>
            </w:pPr>
            <w:r w:rsidRPr="00E57117">
              <w:rPr>
                <w:u w:val="single"/>
              </w:rPr>
              <w:t>Målsætning</w:t>
            </w:r>
            <w:r w:rsidR="000A1C4D" w:rsidRPr="00E57117">
              <w:rPr>
                <w:u w:val="single"/>
              </w:rPr>
              <w:t>:</w:t>
            </w:r>
            <w:r w:rsidR="000A1C4D" w:rsidRPr="00EF7644">
              <w:t xml:space="preserve"> </w:t>
            </w:r>
            <w:r w:rsidR="009330BE">
              <w:t xml:space="preserve">At støtte </w:t>
            </w:r>
            <w:r w:rsidR="00655377">
              <w:t>ge</w:t>
            </w:r>
            <w:r w:rsidR="009330BE">
              <w:t>netablering af energiforsyning,</w:t>
            </w:r>
            <w:r w:rsidR="00EF7644">
              <w:t xml:space="preserve"> som </w:t>
            </w:r>
            <w:r w:rsidR="007F75A1">
              <w:t xml:space="preserve">på sigt </w:t>
            </w:r>
            <w:r w:rsidR="00EF7644">
              <w:t>bygger på bæredygtige</w:t>
            </w:r>
            <w:r w:rsidR="007F75A1">
              <w:t xml:space="preserve"> og vedvarende energiløsninger</w:t>
            </w:r>
          </w:p>
        </w:tc>
      </w:tr>
      <w:tr w:rsidR="00CC2A77" w:rsidTr="00697DCD">
        <w:tc>
          <w:tcPr>
            <w:tcW w:w="2091" w:type="dxa"/>
            <w:vMerge/>
          </w:tcPr>
          <w:p w:rsidR="00CC2A77" w:rsidRDefault="00CC2A77" w:rsidP="00395042">
            <w:pPr>
              <w:spacing w:line="276" w:lineRule="auto"/>
            </w:pPr>
          </w:p>
        </w:tc>
        <w:tc>
          <w:tcPr>
            <w:tcW w:w="1764" w:type="dxa"/>
          </w:tcPr>
          <w:p w:rsidR="00CC2A77" w:rsidRPr="00E57117" w:rsidRDefault="00CC2A77" w:rsidP="00395042">
            <w:pPr>
              <w:spacing w:line="276" w:lineRule="auto"/>
              <w:rPr>
                <w:u w:val="single"/>
              </w:rPr>
            </w:pPr>
            <w:r w:rsidRPr="00E57117">
              <w:rPr>
                <w:u w:val="single"/>
              </w:rPr>
              <w:t>Aktiviteter:</w:t>
            </w:r>
          </w:p>
          <w:p w:rsidR="00CC2A77" w:rsidRDefault="00CC2A77" w:rsidP="00395042">
            <w:pPr>
              <w:spacing w:line="276" w:lineRule="auto"/>
            </w:pPr>
            <w:r w:rsidRPr="00F424BF">
              <w:t>Fortsat levering a</w:t>
            </w:r>
            <w:r w:rsidR="007F75A1">
              <w:t>f generatorer, reservedele og varmekedler i forhold til kortsigtede behov</w:t>
            </w:r>
            <w:r w:rsidR="00EA7E4C">
              <w:t>.</w:t>
            </w:r>
          </w:p>
          <w:p w:rsidR="00E57117" w:rsidRDefault="00E57117" w:rsidP="00395042">
            <w:pPr>
              <w:spacing w:line="276" w:lineRule="auto"/>
            </w:pPr>
          </w:p>
          <w:p w:rsidR="00E57117" w:rsidRDefault="00E57117" w:rsidP="009D737E">
            <w:pPr>
              <w:spacing w:line="276" w:lineRule="auto"/>
            </w:pPr>
            <w:r w:rsidRPr="00F424BF">
              <w:t>Igangværende twinningprojekt mellem ukrainsk energi</w:t>
            </w:r>
            <w:r>
              <w:t>ministe</w:t>
            </w:r>
            <w:r>
              <w:lastRenderedPageBreak/>
              <w:t xml:space="preserve">rium og </w:t>
            </w:r>
            <w:r w:rsidR="009D737E">
              <w:t>Danmarks e</w:t>
            </w:r>
            <w:r>
              <w:t>nergistyrelse</w:t>
            </w:r>
            <w:r w:rsidR="007B045D">
              <w:t>.</w:t>
            </w:r>
            <w:r>
              <w:rPr>
                <w:rStyle w:val="Fodnotehenvisning"/>
              </w:rPr>
              <w:footnoteReference w:id="5"/>
            </w:r>
          </w:p>
        </w:tc>
        <w:tc>
          <w:tcPr>
            <w:tcW w:w="2409" w:type="dxa"/>
          </w:tcPr>
          <w:p w:rsidR="00206DED" w:rsidRPr="00E57117" w:rsidRDefault="00EF7644" w:rsidP="00395042">
            <w:pPr>
              <w:spacing w:line="276" w:lineRule="auto"/>
              <w:rPr>
                <w:u w:val="single"/>
              </w:rPr>
            </w:pPr>
            <w:r w:rsidRPr="00E57117">
              <w:rPr>
                <w:u w:val="single"/>
              </w:rPr>
              <w:lastRenderedPageBreak/>
              <w:t xml:space="preserve">Aktiviteter: </w:t>
            </w:r>
          </w:p>
          <w:p w:rsidR="007F75A1" w:rsidRDefault="00CC2A77" w:rsidP="00395042">
            <w:pPr>
              <w:spacing w:line="276" w:lineRule="auto"/>
            </w:pPr>
            <w:r w:rsidRPr="00F424BF">
              <w:t xml:space="preserve">Fortsat levering af </w:t>
            </w:r>
            <w:r w:rsidR="007F75A1">
              <w:t>hardware i forhold til behov.</w:t>
            </w:r>
          </w:p>
          <w:p w:rsidR="007F75A1" w:rsidRDefault="00CC2A77" w:rsidP="00395042">
            <w:pPr>
              <w:spacing w:line="276" w:lineRule="auto"/>
            </w:pPr>
            <w:r w:rsidRPr="00F424BF">
              <w:t xml:space="preserve">Afprøvning af vedvarende energiløsninger og energieffektiviseringstiltag. </w:t>
            </w:r>
          </w:p>
          <w:p w:rsidR="00CC2A77" w:rsidRDefault="00CC2A77" w:rsidP="00395042">
            <w:pPr>
              <w:spacing w:line="276" w:lineRule="auto"/>
            </w:pPr>
            <w:r w:rsidRPr="00F424BF">
              <w:t xml:space="preserve">Renovering af eksisterende </w:t>
            </w:r>
            <w:r w:rsidR="00E57117">
              <w:t>fjernvarme</w:t>
            </w:r>
            <w:r w:rsidRPr="00F424BF">
              <w:t>system.</w:t>
            </w:r>
          </w:p>
          <w:p w:rsidR="00E57117" w:rsidRDefault="00E57117" w:rsidP="00395042">
            <w:pPr>
              <w:spacing w:line="276" w:lineRule="auto"/>
            </w:pPr>
          </w:p>
          <w:p w:rsidR="00E57117" w:rsidRDefault="00E57117" w:rsidP="00395042">
            <w:pPr>
              <w:spacing w:line="276" w:lineRule="auto"/>
            </w:pPr>
            <w:r w:rsidRPr="00F424BF">
              <w:t>Igangværende twinning-projekt</w:t>
            </w:r>
            <w:r w:rsidR="007F75A1">
              <w:t>.</w:t>
            </w:r>
          </w:p>
        </w:tc>
        <w:tc>
          <w:tcPr>
            <w:tcW w:w="2383" w:type="dxa"/>
          </w:tcPr>
          <w:p w:rsidR="00206DED" w:rsidRPr="00E57117" w:rsidRDefault="00EF7644" w:rsidP="00395042">
            <w:pPr>
              <w:spacing w:line="276" w:lineRule="auto"/>
              <w:rPr>
                <w:u w:val="single"/>
              </w:rPr>
            </w:pPr>
            <w:r w:rsidRPr="00E57117">
              <w:rPr>
                <w:u w:val="single"/>
              </w:rPr>
              <w:t xml:space="preserve">Aktiviteter: </w:t>
            </w:r>
          </w:p>
          <w:p w:rsidR="007F75A1" w:rsidRDefault="00CC2A77" w:rsidP="00395042">
            <w:pPr>
              <w:spacing w:line="276" w:lineRule="auto"/>
            </w:pPr>
            <w:r w:rsidRPr="00F424BF">
              <w:t xml:space="preserve">Introduktion af vedvarende energiløsninger. </w:t>
            </w:r>
          </w:p>
          <w:p w:rsidR="007F75A1" w:rsidRDefault="00E57117" w:rsidP="00395042">
            <w:pPr>
              <w:spacing w:line="276" w:lineRule="auto"/>
            </w:pPr>
            <w:r>
              <w:t>Udbygning/renovering af fjernvarmesystem og i</w:t>
            </w:r>
            <w:r w:rsidR="00CC2A77" w:rsidRPr="00F424BF">
              <w:t xml:space="preserve">ntroduktion af kombinerede varme- og kraftværker. Biogasenheder. </w:t>
            </w:r>
          </w:p>
          <w:p w:rsidR="00CC2A77" w:rsidRDefault="00CC2A77" w:rsidP="00395042">
            <w:pPr>
              <w:spacing w:line="276" w:lineRule="auto"/>
            </w:pPr>
            <w:r w:rsidRPr="00F424BF">
              <w:t>O</w:t>
            </w:r>
            <w:r w:rsidR="00E57117">
              <w:t>n</w:t>
            </w:r>
            <w:r w:rsidR="00E97115">
              <w:t>-</w:t>
            </w:r>
            <w:r w:rsidR="00E57117">
              <w:t xml:space="preserve"> og o</w:t>
            </w:r>
            <w:r w:rsidRPr="00F424BF">
              <w:t>ffshore vindkraft.</w:t>
            </w:r>
          </w:p>
          <w:p w:rsidR="00E57117" w:rsidRDefault="00E57117" w:rsidP="00395042">
            <w:pPr>
              <w:spacing w:line="276" w:lineRule="auto"/>
            </w:pPr>
          </w:p>
          <w:p w:rsidR="00E57117" w:rsidRDefault="00E57117" w:rsidP="00395042">
            <w:pPr>
              <w:spacing w:line="276" w:lineRule="auto"/>
            </w:pPr>
            <w:r w:rsidRPr="00F424BF">
              <w:t>Fjerde fase af igangværende twinningprojekt.</w:t>
            </w:r>
          </w:p>
        </w:tc>
        <w:tc>
          <w:tcPr>
            <w:tcW w:w="1701" w:type="dxa"/>
          </w:tcPr>
          <w:p w:rsidR="008A7B41" w:rsidRDefault="008A7B41" w:rsidP="00395042">
            <w:pPr>
              <w:spacing w:line="276" w:lineRule="auto"/>
            </w:pPr>
          </w:p>
          <w:p w:rsidR="00CC2A77" w:rsidRDefault="00CC2A77" w:rsidP="00395042">
            <w:pPr>
              <w:spacing w:line="276" w:lineRule="auto"/>
            </w:pPr>
            <w:r w:rsidRPr="00F424BF">
              <w:t>Ukrainske energi</w:t>
            </w:r>
            <w:r>
              <w:t>-</w:t>
            </w:r>
          </w:p>
          <w:p w:rsidR="00CC2A77" w:rsidRPr="00F424BF" w:rsidRDefault="00CC2A77" w:rsidP="00395042">
            <w:pPr>
              <w:spacing w:line="276" w:lineRule="auto"/>
            </w:pPr>
            <w:r w:rsidRPr="00F424BF">
              <w:t>ministerium, Danmarks energistyrelse, UNOPS, DSIF</w:t>
            </w:r>
            <w:r w:rsidR="00E865AC">
              <w:t>/NEFCO</w:t>
            </w:r>
            <w:r w:rsidRPr="00F424BF">
              <w:t>, EIB, EBRD</w:t>
            </w:r>
            <w:r w:rsidR="00E865AC">
              <w:t xml:space="preserve"> m.fl.</w:t>
            </w:r>
          </w:p>
          <w:p w:rsidR="00CC2A77" w:rsidRDefault="00CC2A77" w:rsidP="00395042">
            <w:pPr>
              <w:spacing w:line="276" w:lineRule="auto"/>
            </w:pPr>
          </w:p>
          <w:p w:rsidR="00CC2A77" w:rsidRDefault="00CC2A77" w:rsidP="00395042">
            <w:pPr>
              <w:spacing w:line="276" w:lineRule="auto"/>
            </w:pPr>
          </w:p>
          <w:p w:rsidR="00CC2A77" w:rsidRDefault="00CC2A77" w:rsidP="00395042">
            <w:pPr>
              <w:spacing w:line="276" w:lineRule="auto"/>
            </w:pPr>
          </w:p>
          <w:p w:rsidR="00CC2A77" w:rsidRPr="00F424BF" w:rsidRDefault="00CC2A77" w:rsidP="00395042">
            <w:pPr>
              <w:tabs>
                <w:tab w:val="left" w:pos="1680"/>
              </w:tabs>
              <w:spacing w:line="276" w:lineRule="auto"/>
            </w:pPr>
            <w:r>
              <w:tab/>
            </w:r>
          </w:p>
        </w:tc>
      </w:tr>
      <w:tr w:rsidR="0072211F" w:rsidTr="00697DCD">
        <w:tc>
          <w:tcPr>
            <w:tcW w:w="2091" w:type="dxa"/>
            <w:vMerge w:val="restart"/>
          </w:tcPr>
          <w:p w:rsidR="0072211F" w:rsidRPr="008F6FE8" w:rsidRDefault="0072211F" w:rsidP="00395042">
            <w:pPr>
              <w:spacing w:line="276" w:lineRule="auto"/>
            </w:pPr>
            <w:r w:rsidRPr="008F6FE8">
              <w:t>Privatsektorudvikling og investering</w:t>
            </w:r>
          </w:p>
          <w:p w:rsidR="0072211F" w:rsidRPr="00F424BF" w:rsidRDefault="0072211F" w:rsidP="00395042">
            <w:pPr>
              <w:spacing w:line="276" w:lineRule="auto"/>
              <w:rPr>
                <w:b/>
              </w:rPr>
            </w:pPr>
          </w:p>
        </w:tc>
        <w:tc>
          <w:tcPr>
            <w:tcW w:w="8257" w:type="dxa"/>
            <w:gridSpan w:val="4"/>
          </w:tcPr>
          <w:p w:rsidR="0072211F" w:rsidRPr="00F424BF" w:rsidRDefault="0072211F" w:rsidP="00395042">
            <w:pPr>
              <w:spacing w:line="276" w:lineRule="auto"/>
            </w:pPr>
            <w:r w:rsidRPr="008A7B41">
              <w:rPr>
                <w:u w:val="single"/>
              </w:rPr>
              <w:t>Målsætning:</w:t>
            </w:r>
            <w:r w:rsidR="00C21FD9" w:rsidRPr="00394053">
              <w:t xml:space="preserve"> </w:t>
            </w:r>
            <w:r w:rsidR="002A2F39">
              <w:t>A</w:t>
            </w:r>
            <w:r w:rsidR="00C21FD9" w:rsidRPr="00394053">
              <w:t>t støtte nye investeringer i Ukraine</w:t>
            </w:r>
            <w:r w:rsidR="002A2F39">
              <w:t xml:space="preserve"> for at bidrage til genetablering af den ukrainske økonomi</w:t>
            </w:r>
            <w:r w:rsidR="006C5ABE">
              <w:t>, private sektor og jobskabelse.</w:t>
            </w:r>
          </w:p>
        </w:tc>
      </w:tr>
      <w:tr w:rsidR="00CC2A77" w:rsidTr="00697DCD">
        <w:tc>
          <w:tcPr>
            <w:tcW w:w="2091" w:type="dxa"/>
            <w:vMerge/>
          </w:tcPr>
          <w:p w:rsidR="00CC2A77" w:rsidRDefault="00CC2A77" w:rsidP="00395042">
            <w:pPr>
              <w:spacing w:line="276" w:lineRule="auto"/>
            </w:pPr>
          </w:p>
        </w:tc>
        <w:tc>
          <w:tcPr>
            <w:tcW w:w="1764" w:type="dxa"/>
          </w:tcPr>
          <w:p w:rsidR="00CC2A77" w:rsidRPr="008A7B41" w:rsidRDefault="00CC2A77" w:rsidP="00395042">
            <w:pPr>
              <w:spacing w:line="276" w:lineRule="auto"/>
              <w:rPr>
                <w:u w:val="single"/>
              </w:rPr>
            </w:pPr>
            <w:r w:rsidRPr="008A7B41">
              <w:rPr>
                <w:u w:val="single"/>
              </w:rPr>
              <w:t>Aktiviteter:</w:t>
            </w:r>
          </w:p>
          <w:p w:rsidR="00CC2A77" w:rsidRDefault="00CC2A77" w:rsidP="0071093C">
            <w:pPr>
              <w:spacing w:line="276" w:lineRule="auto"/>
            </w:pPr>
            <w:r w:rsidRPr="00F424BF">
              <w:t>Ukrainefacilitet for private investeringer i sektorer med finansieringsbehov, inkl. landbrug, energi, IT.</w:t>
            </w:r>
          </w:p>
        </w:tc>
        <w:tc>
          <w:tcPr>
            <w:tcW w:w="2409" w:type="dxa"/>
          </w:tcPr>
          <w:p w:rsidR="008A7B41" w:rsidRPr="008A7B41" w:rsidRDefault="0072211F" w:rsidP="00395042">
            <w:pPr>
              <w:spacing w:line="276" w:lineRule="auto"/>
              <w:rPr>
                <w:u w:val="single"/>
              </w:rPr>
            </w:pPr>
            <w:r w:rsidRPr="008A7B41">
              <w:rPr>
                <w:u w:val="single"/>
              </w:rPr>
              <w:t xml:space="preserve">Aktiviteter: </w:t>
            </w:r>
          </w:p>
          <w:p w:rsidR="00CC2A77" w:rsidRPr="00F424BF" w:rsidRDefault="00CC2A77" w:rsidP="00395042">
            <w:pPr>
              <w:spacing w:line="276" w:lineRule="auto"/>
            </w:pPr>
            <w:r w:rsidRPr="00F424BF">
              <w:t>Fuld udnyttelse af bevilgede midler til private investeringer.</w:t>
            </w:r>
          </w:p>
          <w:p w:rsidR="00CC2A77" w:rsidRDefault="00CC2A77" w:rsidP="00395042">
            <w:pPr>
              <w:spacing w:line="276" w:lineRule="auto"/>
            </w:pPr>
          </w:p>
          <w:p w:rsidR="00CC2A77" w:rsidRDefault="00CC2A77" w:rsidP="00395042">
            <w:pPr>
              <w:spacing w:line="276" w:lineRule="auto"/>
            </w:pPr>
          </w:p>
          <w:p w:rsidR="00CC2A77" w:rsidRPr="00F424BF" w:rsidRDefault="00CC2A77" w:rsidP="00395042">
            <w:pPr>
              <w:spacing w:line="276" w:lineRule="auto"/>
            </w:pPr>
          </w:p>
        </w:tc>
        <w:tc>
          <w:tcPr>
            <w:tcW w:w="2383" w:type="dxa"/>
          </w:tcPr>
          <w:p w:rsidR="008A7B41" w:rsidRPr="008A7B41" w:rsidRDefault="0072211F" w:rsidP="00395042">
            <w:pPr>
              <w:spacing w:line="276" w:lineRule="auto"/>
              <w:rPr>
                <w:u w:val="single"/>
              </w:rPr>
            </w:pPr>
            <w:r w:rsidRPr="008A7B41">
              <w:rPr>
                <w:u w:val="single"/>
              </w:rPr>
              <w:t xml:space="preserve">Aktiviteter: </w:t>
            </w:r>
          </w:p>
          <w:p w:rsidR="00CC2A77" w:rsidRDefault="00CC2A77" w:rsidP="00395042">
            <w:pPr>
              <w:spacing w:line="276" w:lineRule="auto"/>
            </w:pPr>
            <w:r w:rsidRPr="00F424BF">
              <w:t>Være blandt de første til at støtte nye investeringer i Ukraine med usædvanlig høj risiko. Fokus på grønne investeringer, fx inden for landbrug og energi</w:t>
            </w:r>
            <w:r w:rsidRPr="003B6923">
              <w:t>.</w:t>
            </w:r>
          </w:p>
        </w:tc>
        <w:tc>
          <w:tcPr>
            <w:tcW w:w="1701" w:type="dxa"/>
          </w:tcPr>
          <w:p w:rsidR="00CC2A77" w:rsidRPr="00F424BF" w:rsidRDefault="008A7B41" w:rsidP="009D737E">
            <w:pPr>
              <w:spacing w:line="276" w:lineRule="auto"/>
            </w:pPr>
            <w:r>
              <w:t>IFU i samarbejde med ukrainske, danske og andre udenlandske virksomh</w:t>
            </w:r>
            <w:r w:rsidR="009D737E">
              <w:t>e</w:t>
            </w:r>
            <w:r>
              <w:t>der</w:t>
            </w:r>
            <w:r w:rsidR="009D737E">
              <w:t>.</w:t>
            </w:r>
          </w:p>
        </w:tc>
      </w:tr>
      <w:tr w:rsidR="0072211F" w:rsidTr="00697DCD">
        <w:tc>
          <w:tcPr>
            <w:tcW w:w="2091" w:type="dxa"/>
          </w:tcPr>
          <w:p w:rsidR="0072211F" w:rsidRPr="00F424BF" w:rsidRDefault="0072211F" w:rsidP="00395042">
            <w:pPr>
              <w:spacing w:line="276" w:lineRule="auto"/>
              <w:rPr>
                <w:b/>
              </w:rPr>
            </w:pPr>
            <w:r>
              <w:rPr>
                <w:b/>
              </w:rPr>
              <w:t xml:space="preserve">Civilsamfund, kommune-twinning og forsendelse </w:t>
            </w:r>
          </w:p>
        </w:tc>
        <w:tc>
          <w:tcPr>
            <w:tcW w:w="8257" w:type="dxa"/>
            <w:gridSpan w:val="4"/>
          </w:tcPr>
          <w:p w:rsidR="00243D36" w:rsidRDefault="0072211F" w:rsidP="00395042">
            <w:pPr>
              <w:spacing w:line="276" w:lineRule="auto"/>
            </w:pPr>
            <w:r w:rsidRPr="008A7B41">
              <w:rPr>
                <w:u w:val="single"/>
              </w:rPr>
              <w:t>Målsætning:</w:t>
            </w:r>
            <w:r w:rsidRPr="00394053">
              <w:t xml:space="preserve"> </w:t>
            </w:r>
          </w:p>
          <w:p w:rsidR="0072211F" w:rsidRPr="00F424BF" w:rsidRDefault="000A2FB1" w:rsidP="00395042">
            <w:pPr>
              <w:spacing w:line="276" w:lineRule="auto"/>
            </w:pPr>
            <w:r w:rsidRPr="00394053">
              <w:t xml:space="preserve">At </w:t>
            </w:r>
            <w:r w:rsidR="00243D36">
              <w:t>bidrage til at genopbygning blive</w:t>
            </w:r>
            <w:r w:rsidR="00E97115">
              <w:t>r</w:t>
            </w:r>
            <w:r w:rsidR="00243D36">
              <w:t xml:space="preserve"> </w:t>
            </w:r>
            <w:r w:rsidR="00E81F12">
              <w:t xml:space="preserve">guidet af lokale partneres behovsanalyser og </w:t>
            </w:r>
            <w:r w:rsidR="00243D36">
              <w:t xml:space="preserve">lokalt forankret i kommuner og civilsamfund i Ukraine for at fremme </w:t>
            </w:r>
            <w:r w:rsidR="009D737E">
              <w:t xml:space="preserve">mangfoldig deltagelse, </w:t>
            </w:r>
            <w:r w:rsidR="00243D36">
              <w:t>effektivitet, transparens og demokratisk kontrol – samt fremme tæt dansk-ukrainsk samarbejde og erfaringsudveksling med bred mobilisering af dansk bistand til Ukrainsk genopbygning.</w:t>
            </w:r>
          </w:p>
        </w:tc>
      </w:tr>
      <w:tr w:rsidR="00CC2A77" w:rsidTr="00697DCD">
        <w:tc>
          <w:tcPr>
            <w:tcW w:w="2091" w:type="dxa"/>
          </w:tcPr>
          <w:p w:rsidR="00CC2A77" w:rsidRPr="00F424BF" w:rsidRDefault="00CC2A77" w:rsidP="00395042">
            <w:pPr>
              <w:spacing w:line="276" w:lineRule="auto"/>
              <w:rPr>
                <w:b/>
              </w:rPr>
            </w:pPr>
          </w:p>
          <w:p w:rsidR="00CC2A77" w:rsidRPr="00C65CFB" w:rsidRDefault="00CC2A77" w:rsidP="00395042">
            <w:pPr>
              <w:spacing w:line="276" w:lineRule="auto"/>
              <w:rPr>
                <w:b/>
              </w:rPr>
            </w:pPr>
            <w:r w:rsidRPr="00C65CFB">
              <w:rPr>
                <w:b/>
              </w:rPr>
              <w:t>Fremme af transparens</w:t>
            </w:r>
            <w:r w:rsidR="00E81F12">
              <w:rPr>
                <w:b/>
              </w:rPr>
              <w:t>, kapacitetsopbygning</w:t>
            </w:r>
            <w:r w:rsidRPr="00C65CFB">
              <w:rPr>
                <w:b/>
              </w:rPr>
              <w:t xml:space="preserve"> og mobilisering af civilsamfundet</w:t>
            </w:r>
          </w:p>
          <w:p w:rsidR="00CC2A77" w:rsidRDefault="00CC2A77" w:rsidP="00395042">
            <w:pPr>
              <w:spacing w:line="276" w:lineRule="auto"/>
            </w:pPr>
          </w:p>
        </w:tc>
        <w:tc>
          <w:tcPr>
            <w:tcW w:w="1764" w:type="dxa"/>
          </w:tcPr>
          <w:p w:rsidR="00243D36" w:rsidRPr="00243D36" w:rsidRDefault="008B62B2" w:rsidP="00395042">
            <w:pPr>
              <w:spacing w:line="276" w:lineRule="auto"/>
              <w:rPr>
                <w:u w:val="single"/>
              </w:rPr>
            </w:pPr>
            <w:r w:rsidRPr="00243D36">
              <w:rPr>
                <w:u w:val="single"/>
              </w:rPr>
              <w:t xml:space="preserve">Aktiviteter: </w:t>
            </w:r>
          </w:p>
          <w:p w:rsidR="00CC2A77" w:rsidRDefault="00CC2A77" w:rsidP="00395042">
            <w:pPr>
              <w:spacing w:line="276" w:lineRule="auto"/>
            </w:pPr>
            <w:r w:rsidRPr="00F424BF">
              <w:t>Mobilisering af ukrainsk civilsamfund ift. inddragelse i genopbygning og dialog.</w:t>
            </w:r>
          </w:p>
        </w:tc>
        <w:tc>
          <w:tcPr>
            <w:tcW w:w="2409" w:type="dxa"/>
          </w:tcPr>
          <w:p w:rsidR="00243D36" w:rsidRPr="00243D36" w:rsidRDefault="008B62B2" w:rsidP="00395042">
            <w:pPr>
              <w:spacing w:line="276" w:lineRule="auto"/>
              <w:rPr>
                <w:u w:val="single"/>
              </w:rPr>
            </w:pPr>
            <w:r w:rsidRPr="00243D36">
              <w:rPr>
                <w:u w:val="single"/>
              </w:rPr>
              <w:t xml:space="preserve">Aktiviteter: </w:t>
            </w:r>
          </w:p>
          <w:p w:rsidR="00CC2A77" w:rsidRDefault="00CC2A77" w:rsidP="00395042">
            <w:pPr>
              <w:spacing w:line="276" w:lineRule="auto"/>
            </w:pPr>
            <w:r w:rsidRPr="00F424BF">
              <w:t>Fastlægge ramme for inddragelse i genopbygning. Etablere mekanismer for dialog.</w:t>
            </w:r>
          </w:p>
          <w:p w:rsidR="00CC2A77" w:rsidRPr="00F424BF" w:rsidRDefault="00CC2A77" w:rsidP="00395042">
            <w:pPr>
              <w:tabs>
                <w:tab w:val="left" w:pos="2025"/>
              </w:tabs>
              <w:spacing w:line="276" w:lineRule="auto"/>
            </w:pPr>
            <w:r>
              <w:tab/>
            </w:r>
          </w:p>
        </w:tc>
        <w:tc>
          <w:tcPr>
            <w:tcW w:w="2383" w:type="dxa"/>
          </w:tcPr>
          <w:p w:rsidR="00243D36" w:rsidRPr="00243D36" w:rsidRDefault="008B62B2" w:rsidP="00395042">
            <w:pPr>
              <w:spacing w:line="276" w:lineRule="auto"/>
              <w:rPr>
                <w:u w:val="single"/>
              </w:rPr>
            </w:pPr>
            <w:r w:rsidRPr="00243D36">
              <w:rPr>
                <w:u w:val="single"/>
              </w:rPr>
              <w:t xml:space="preserve">Aktiviteter: </w:t>
            </w:r>
          </w:p>
          <w:p w:rsidR="00CC2A77" w:rsidRPr="00F424BF" w:rsidRDefault="00CC2A77" w:rsidP="00395042">
            <w:pPr>
              <w:spacing w:line="276" w:lineRule="auto"/>
            </w:pPr>
            <w:r w:rsidRPr="00F424BF">
              <w:t>Sikre dialog og inddragelse i langsigtet genopbygning og anti-korruptions-mekanismer.</w:t>
            </w:r>
          </w:p>
        </w:tc>
        <w:tc>
          <w:tcPr>
            <w:tcW w:w="1701" w:type="dxa"/>
          </w:tcPr>
          <w:p w:rsidR="00243D36" w:rsidRDefault="00243D36" w:rsidP="00395042">
            <w:pPr>
              <w:spacing w:line="276" w:lineRule="auto"/>
            </w:pPr>
          </w:p>
          <w:p w:rsidR="00CC2A77" w:rsidRPr="00F424BF" w:rsidRDefault="00CC2A77" w:rsidP="00395042">
            <w:pPr>
              <w:spacing w:line="276" w:lineRule="auto"/>
            </w:pPr>
            <w:r w:rsidRPr="00F424BF">
              <w:t xml:space="preserve">UNDP samt ukrainske og danske </w:t>
            </w:r>
            <w:r w:rsidR="0071093C">
              <w:t>civilsamfundsorganisationer</w:t>
            </w:r>
            <w:r w:rsidRPr="00F424BF">
              <w:t>.</w:t>
            </w:r>
          </w:p>
          <w:p w:rsidR="00CC2A77" w:rsidRDefault="00CC2A77" w:rsidP="00395042">
            <w:pPr>
              <w:spacing w:line="276" w:lineRule="auto"/>
            </w:pPr>
          </w:p>
          <w:p w:rsidR="00CC2A77" w:rsidRDefault="00CC2A77" w:rsidP="00395042">
            <w:pPr>
              <w:spacing w:line="276" w:lineRule="auto"/>
            </w:pPr>
          </w:p>
          <w:p w:rsidR="00CC2A77" w:rsidRPr="00F424BF" w:rsidRDefault="00CC2A77" w:rsidP="00395042">
            <w:pPr>
              <w:spacing w:line="276" w:lineRule="auto"/>
              <w:ind w:firstLine="1304"/>
            </w:pPr>
          </w:p>
        </w:tc>
      </w:tr>
      <w:tr w:rsidR="00CC2A77" w:rsidTr="00697DCD">
        <w:tc>
          <w:tcPr>
            <w:tcW w:w="2091" w:type="dxa"/>
          </w:tcPr>
          <w:p w:rsidR="00CC2A77" w:rsidRPr="00C65CFB" w:rsidRDefault="00CC2A77" w:rsidP="00395042">
            <w:pPr>
              <w:spacing w:line="276" w:lineRule="auto"/>
              <w:rPr>
                <w:b/>
              </w:rPr>
            </w:pPr>
            <w:r w:rsidRPr="00C65CFB">
              <w:rPr>
                <w:b/>
              </w:rPr>
              <w:t>Støtte til kommunal twinning og kapacitetsopbygning</w:t>
            </w:r>
          </w:p>
          <w:p w:rsidR="00CC2A77" w:rsidRPr="00F424BF" w:rsidRDefault="00CC2A77" w:rsidP="00395042">
            <w:pPr>
              <w:spacing w:line="276" w:lineRule="auto"/>
              <w:rPr>
                <w:b/>
              </w:rPr>
            </w:pPr>
          </w:p>
        </w:tc>
        <w:tc>
          <w:tcPr>
            <w:tcW w:w="1764" w:type="dxa"/>
          </w:tcPr>
          <w:p w:rsidR="00243D36" w:rsidRPr="00243D36" w:rsidRDefault="008B62B2" w:rsidP="00395042">
            <w:pPr>
              <w:spacing w:line="276" w:lineRule="auto"/>
              <w:rPr>
                <w:u w:val="single"/>
              </w:rPr>
            </w:pPr>
            <w:r w:rsidRPr="00243D36">
              <w:rPr>
                <w:u w:val="single"/>
              </w:rPr>
              <w:t xml:space="preserve">Aktiviteter: </w:t>
            </w:r>
          </w:p>
          <w:p w:rsidR="00CC2A77" w:rsidRDefault="00E865AC" w:rsidP="00E865AC">
            <w:pPr>
              <w:spacing w:line="276" w:lineRule="auto"/>
            </w:pPr>
            <w:r>
              <w:t>Etablere aftale for twinning og kapacitetsopbygning ml. danske og ukrainske kommuner, herunder Mykolaiv</w:t>
            </w:r>
          </w:p>
        </w:tc>
        <w:tc>
          <w:tcPr>
            <w:tcW w:w="2409" w:type="dxa"/>
          </w:tcPr>
          <w:p w:rsidR="00243D36" w:rsidRPr="00243D36" w:rsidRDefault="008B62B2" w:rsidP="00395042">
            <w:pPr>
              <w:spacing w:line="276" w:lineRule="auto"/>
              <w:rPr>
                <w:u w:val="single"/>
              </w:rPr>
            </w:pPr>
            <w:r w:rsidRPr="00243D36">
              <w:rPr>
                <w:u w:val="single"/>
              </w:rPr>
              <w:t xml:space="preserve">Aktiviteter: </w:t>
            </w:r>
          </w:p>
          <w:p w:rsidR="00CC2A77" w:rsidRDefault="00E865AC" w:rsidP="00E865AC">
            <w:pPr>
              <w:spacing w:line="276" w:lineRule="auto"/>
            </w:pPr>
            <w:r>
              <w:t>Baseret på indledende aftale og dialog (pilotaktiviteter) udvikles 2-3 årigt program.</w:t>
            </w:r>
            <w:r w:rsidR="00C04246">
              <w:t xml:space="preserve"> </w:t>
            </w:r>
          </w:p>
        </w:tc>
        <w:tc>
          <w:tcPr>
            <w:tcW w:w="2383" w:type="dxa"/>
          </w:tcPr>
          <w:p w:rsidR="007F0D77" w:rsidRPr="007F0D77" w:rsidRDefault="008B62B2" w:rsidP="00395042">
            <w:pPr>
              <w:spacing w:line="276" w:lineRule="auto"/>
              <w:rPr>
                <w:u w:val="single"/>
              </w:rPr>
            </w:pPr>
            <w:r w:rsidRPr="007F0D77">
              <w:rPr>
                <w:u w:val="single"/>
              </w:rPr>
              <w:t xml:space="preserve">Aktiviteter: </w:t>
            </w:r>
          </w:p>
          <w:p w:rsidR="00CC2A77" w:rsidRDefault="00E865AC" w:rsidP="00E865AC">
            <w:pPr>
              <w:spacing w:line="276" w:lineRule="auto"/>
            </w:pPr>
            <w:r>
              <w:t>Konkrete aktiviteter udvikles. Erfaringer opsummeres.</w:t>
            </w:r>
          </w:p>
        </w:tc>
        <w:tc>
          <w:tcPr>
            <w:tcW w:w="1701" w:type="dxa"/>
          </w:tcPr>
          <w:p w:rsidR="007F0D77" w:rsidRDefault="007F0D77" w:rsidP="00395042">
            <w:pPr>
              <w:spacing w:line="276" w:lineRule="auto"/>
            </w:pPr>
          </w:p>
          <w:p w:rsidR="00CC2A77" w:rsidRDefault="007F0D77" w:rsidP="00155C0E">
            <w:pPr>
              <w:spacing w:line="276" w:lineRule="auto"/>
            </w:pPr>
            <w:r>
              <w:t xml:space="preserve">Ukrainske og danske byer samt evt. KL </w:t>
            </w:r>
          </w:p>
        </w:tc>
      </w:tr>
      <w:tr w:rsidR="008B62B2" w:rsidTr="00697DCD">
        <w:trPr>
          <w:trHeight w:val="743"/>
        </w:trPr>
        <w:tc>
          <w:tcPr>
            <w:tcW w:w="2091" w:type="dxa"/>
          </w:tcPr>
          <w:p w:rsidR="008B62B2" w:rsidRPr="006010E3" w:rsidRDefault="008B62B2" w:rsidP="00395042">
            <w:pPr>
              <w:spacing w:line="276" w:lineRule="auto"/>
            </w:pPr>
            <w:r w:rsidRPr="00C65CFB">
              <w:rPr>
                <w:b/>
              </w:rPr>
              <w:t>Forsendelse af danske donationer til Ukraine</w:t>
            </w:r>
          </w:p>
        </w:tc>
        <w:tc>
          <w:tcPr>
            <w:tcW w:w="8257" w:type="dxa"/>
            <w:gridSpan w:val="4"/>
          </w:tcPr>
          <w:p w:rsidR="008B62B2" w:rsidRDefault="007F0D77" w:rsidP="009D737E">
            <w:pPr>
              <w:spacing w:line="276" w:lineRule="auto"/>
            </w:pPr>
            <w:r>
              <w:t>Etablering af finansieringsmekanisme for</w:t>
            </w:r>
            <w:r w:rsidR="008B62B2" w:rsidRPr="00F424BF">
              <w:t xml:space="preserve"> forsendelse af essentielt udstyr</w:t>
            </w:r>
            <w:r>
              <w:t xml:space="preserve"> fra danske kommuner og </w:t>
            </w:r>
            <w:r w:rsidR="00155C0E">
              <w:t>civilsamfundsorganisationer</w:t>
            </w:r>
            <w:r w:rsidR="009D737E">
              <w:t xml:space="preserve"> m.v.</w:t>
            </w:r>
            <w:r w:rsidR="008B62B2" w:rsidRPr="00F424BF">
              <w:t>, hvor forsendelsesudgifter ikke kan dækkes af eksisterende mekanismer.</w:t>
            </w:r>
          </w:p>
        </w:tc>
      </w:tr>
    </w:tbl>
    <w:p w:rsidR="002908FC" w:rsidRDefault="002908FC" w:rsidP="00935CBC">
      <w:pPr>
        <w:jc w:val="both"/>
      </w:pPr>
    </w:p>
    <w:p w:rsidR="000314DC" w:rsidRPr="000314DC" w:rsidRDefault="000314DC" w:rsidP="00395042">
      <w:pPr>
        <w:pStyle w:val="Overskrift2"/>
        <w:numPr>
          <w:ilvl w:val="1"/>
          <w:numId w:val="9"/>
        </w:numPr>
      </w:pPr>
      <w:bookmarkStart w:id="25" w:name="_Toc133169482"/>
      <w:r>
        <w:lastRenderedPageBreak/>
        <w:t>Budget</w:t>
      </w:r>
      <w:bookmarkEnd w:id="25"/>
    </w:p>
    <w:p w:rsidR="00F50350" w:rsidRDefault="00F50350" w:rsidP="00395042">
      <w:pPr>
        <w:jc w:val="both"/>
      </w:pPr>
      <w:r>
        <w:t xml:space="preserve">I 2023 er der afsat 770 mio. kr. </w:t>
      </w:r>
      <w:r w:rsidR="00DD6B19">
        <w:t>til</w:t>
      </w:r>
      <w:r>
        <w:t xml:space="preserve"> </w:t>
      </w:r>
      <w:r w:rsidR="004063C6">
        <w:t xml:space="preserve">støtte for tidlig </w:t>
      </w:r>
      <w:r>
        <w:t>genopbygning. Den tenta</w:t>
      </w:r>
      <w:r w:rsidR="004063C6">
        <w:t xml:space="preserve">tive fordeling af disse midler </w:t>
      </w:r>
      <w:r>
        <w:t>fremgår nedenfor</w:t>
      </w:r>
      <w:r w:rsidR="004063C6">
        <w:t xml:space="preserve"> og</w:t>
      </w:r>
      <w:r>
        <w:t xml:space="preserve"> </w:t>
      </w:r>
      <w:r w:rsidR="00DD6B19">
        <w:t xml:space="preserve">enkeltposternes endelige fordeling </w:t>
      </w:r>
      <w:r>
        <w:t xml:space="preserve">vil afhænge </w:t>
      </w:r>
      <w:r w:rsidR="004B260D">
        <w:t xml:space="preserve">af </w:t>
      </w:r>
      <w:r w:rsidR="004063C6">
        <w:t xml:space="preserve">udviklingen i Ukraine og </w:t>
      </w:r>
      <w:r w:rsidR="004B260D">
        <w:t xml:space="preserve">dermed </w:t>
      </w:r>
      <w:r w:rsidR="004063C6">
        <w:t xml:space="preserve">landets </w:t>
      </w:r>
      <w:r>
        <w:t>endelig</w:t>
      </w:r>
      <w:r w:rsidR="004063C6">
        <w:t>e prioriteter i</w:t>
      </w:r>
      <w:r>
        <w:t xml:space="preserve"> planlægningsfase. </w:t>
      </w:r>
      <w:r w:rsidR="00C74C07">
        <w:t xml:space="preserve">Hvis der etableres en </w:t>
      </w:r>
      <w:r w:rsidR="00C74C07" w:rsidRPr="00B02927">
        <w:rPr>
          <w:lang w:eastAsia="da-DK"/>
        </w:rPr>
        <w:t>EU’s genopbygningsfond/mekanisme</w:t>
      </w:r>
      <w:r w:rsidR="00C74C07">
        <w:rPr>
          <w:lang w:eastAsia="da-DK"/>
        </w:rPr>
        <w:t xml:space="preserve"> kan dele af</w:t>
      </w:r>
      <w:r w:rsidR="00C74C07">
        <w:t xml:space="preserve"> midlerne </w:t>
      </w:r>
      <w:r>
        <w:t xml:space="preserve">kanaliseres gennem </w:t>
      </w:r>
      <w:r w:rsidR="00C74C07">
        <w:t>en sådan som dansk bidrag.</w:t>
      </w:r>
    </w:p>
    <w:p w:rsidR="000F31D7" w:rsidRDefault="000F31D7" w:rsidP="000F31D7">
      <w:pPr>
        <w:spacing w:after="0"/>
        <w:jc w:val="both"/>
      </w:pPr>
      <w:r>
        <w:t>Der er endnu ikke sat beløb på størrelsen af den danske genopbygningsindsats i 2024, men støtten vil blive udmøntet i henhold til de overordnede mål og principper i Strateginoten</w:t>
      </w:r>
      <w:r w:rsidR="002152DE">
        <w:t>,</w:t>
      </w:r>
      <w:r w:rsidR="002152DE" w:rsidRPr="002152DE">
        <w:t xml:space="preserve"> </w:t>
      </w:r>
      <w:r w:rsidR="002152DE">
        <w:t xml:space="preserve">herunder målet om, at Danmark kan levere på specifikke behov baseret på den aktuelle og løbende udvikling.  </w:t>
      </w:r>
      <w:r>
        <w:t xml:space="preserve"> </w:t>
      </w:r>
    </w:p>
    <w:p w:rsidR="00F50350" w:rsidRDefault="00F50350" w:rsidP="00395042">
      <w:pPr>
        <w:jc w:val="both"/>
      </w:pPr>
    </w:p>
    <w:tbl>
      <w:tblPr>
        <w:tblW w:w="0" w:type="auto"/>
        <w:tblCellMar>
          <w:left w:w="0" w:type="dxa"/>
          <w:right w:w="0" w:type="dxa"/>
        </w:tblCellMar>
        <w:tblLook w:val="04A0" w:firstRow="1" w:lastRow="0" w:firstColumn="1" w:lastColumn="0" w:noHBand="0" w:noVBand="1"/>
      </w:tblPr>
      <w:tblGrid>
        <w:gridCol w:w="703"/>
        <w:gridCol w:w="7221"/>
        <w:gridCol w:w="1694"/>
      </w:tblGrid>
      <w:tr w:rsidR="00027F65" w:rsidRPr="00B02927" w:rsidTr="00DB4DEC">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7F65" w:rsidRPr="00F50350" w:rsidRDefault="00F50350" w:rsidP="00395042">
            <w:pPr>
              <w:spacing w:after="0"/>
              <w:jc w:val="both"/>
              <w:rPr>
                <w:bCs/>
                <w:lang w:eastAsia="da-DK"/>
              </w:rPr>
            </w:pPr>
            <w:r w:rsidRPr="00F50350">
              <w:rPr>
                <w:bCs/>
                <w:lang w:eastAsia="da-DK"/>
              </w:rPr>
              <w:t xml:space="preserve">Tentativ budget </w:t>
            </w:r>
            <w:r>
              <w:rPr>
                <w:bCs/>
                <w:lang w:eastAsia="da-DK"/>
              </w:rPr>
              <w:t xml:space="preserve">for danske støtte til genopbygning i </w:t>
            </w:r>
            <w:r w:rsidRPr="00F50350">
              <w:rPr>
                <w:bCs/>
                <w:lang w:eastAsia="da-DK"/>
              </w:rPr>
              <w:t>2023</w:t>
            </w:r>
          </w:p>
        </w:tc>
      </w:tr>
      <w:tr w:rsidR="00027F65" w:rsidRPr="00B02927" w:rsidTr="00DB4DEC">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27F65" w:rsidRPr="00B02927" w:rsidRDefault="00027F65" w:rsidP="00395042">
            <w:pPr>
              <w:spacing w:after="0"/>
              <w:jc w:val="both"/>
              <w:rPr>
                <w:b/>
                <w:bCs/>
                <w:lang w:eastAsia="da-DK"/>
              </w:rPr>
            </w:pPr>
          </w:p>
        </w:tc>
        <w:tc>
          <w:tcPr>
            <w:tcW w:w="1694" w:type="dxa"/>
            <w:tcBorders>
              <w:top w:val="nil"/>
              <w:left w:val="nil"/>
              <w:bottom w:val="single" w:sz="8" w:space="0" w:color="auto"/>
              <w:right w:val="single" w:sz="8" w:space="0" w:color="auto"/>
            </w:tcBorders>
            <w:tcMar>
              <w:top w:w="0" w:type="dxa"/>
              <w:left w:w="108" w:type="dxa"/>
              <w:bottom w:w="0" w:type="dxa"/>
              <w:right w:w="108" w:type="dxa"/>
            </w:tcMar>
            <w:hideMark/>
          </w:tcPr>
          <w:p w:rsidR="00027F65" w:rsidRPr="00B02927" w:rsidRDefault="00027F65" w:rsidP="00395042">
            <w:pPr>
              <w:spacing w:after="0"/>
              <w:jc w:val="both"/>
              <w:rPr>
                <w:lang w:val="en-GB" w:eastAsia="da-DK"/>
              </w:rPr>
            </w:pPr>
            <w:r w:rsidRPr="00B02927">
              <w:rPr>
                <w:lang w:val="en-GB" w:eastAsia="da-DK"/>
              </w:rPr>
              <w:t>DKK million</w:t>
            </w:r>
          </w:p>
        </w:tc>
      </w:tr>
      <w:tr w:rsidR="00027F65" w:rsidRPr="00B02927" w:rsidTr="00DB4DEC">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7F65" w:rsidRPr="00B02927" w:rsidRDefault="00027F65" w:rsidP="00395042">
            <w:pPr>
              <w:spacing w:after="0"/>
              <w:jc w:val="both"/>
              <w:rPr>
                <w:lang w:val="en-GB" w:eastAsia="da-DK"/>
              </w:rPr>
            </w:pPr>
            <w:r w:rsidRPr="00B02927">
              <w:rPr>
                <w:lang w:val="en-GB" w:eastAsia="da-DK"/>
              </w:rPr>
              <w:t>Mykolaiv</w:t>
            </w:r>
          </w:p>
        </w:tc>
        <w:tc>
          <w:tcPr>
            <w:tcW w:w="1694" w:type="dxa"/>
            <w:tcBorders>
              <w:top w:val="nil"/>
              <w:left w:val="nil"/>
              <w:bottom w:val="single" w:sz="8" w:space="0" w:color="auto"/>
              <w:right w:val="single" w:sz="8" w:space="0" w:color="auto"/>
            </w:tcBorders>
            <w:tcMar>
              <w:top w:w="0" w:type="dxa"/>
              <w:left w:w="108" w:type="dxa"/>
              <w:bottom w:w="0" w:type="dxa"/>
              <w:right w:w="108" w:type="dxa"/>
            </w:tcMar>
            <w:hideMark/>
          </w:tcPr>
          <w:p w:rsidR="00027F65" w:rsidRPr="00B02927" w:rsidRDefault="00027F65" w:rsidP="00395042">
            <w:pPr>
              <w:spacing w:after="0"/>
              <w:jc w:val="both"/>
              <w:rPr>
                <w:lang w:val="en-GB" w:eastAsia="da-DK"/>
              </w:rPr>
            </w:pPr>
            <w:r w:rsidRPr="00B02927">
              <w:rPr>
                <w:lang w:val="en-GB" w:eastAsia="da-DK"/>
              </w:rPr>
              <w:t>460</w:t>
            </w:r>
          </w:p>
        </w:tc>
      </w:tr>
      <w:tr w:rsidR="00027F65" w:rsidRPr="00B02927" w:rsidTr="00DB4DEC">
        <w:tc>
          <w:tcPr>
            <w:tcW w:w="7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7F65" w:rsidRPr="00B02927" w:rsidRDefault="00027F65" w:rsidP="00395042">
            <w:pPr>
              <w:spacing w:after="0"/>
              <w:jc w:val="both"/>
              <w:rPr>
                <w:lang w:val="en-GB" w:eastAsia="da-DK"/>
              </w:rPr>
            </w:pPr>
          </w:p>
        </w:tc>
        <w:tc>
          <w:tcPr>
            <w:tcW w:w="7221" w:type="dxa"/>
            <w:tcBorders>
              <w:top w:val="nil"/>
              <w:left w:val="nil"/>
              <w:bottom w:val="single" w:sz="8" w:space="0" w:color="auto"/>
              <w:right w:val="single" w:sz="8" w:space="0" w:color="auto"/>
            </w:tcBorders>
            <w:tcMar>
              <w:top w:w="0" w:type="dxa"/>
              <w:left w:w="108" w:type="dxa"/>
              <w:bottom w:w="0" w:type="dxa"/>
              <w:right w:w="108" w:type="dxa"/>
            </w:tcMar>
            <w:hideMark/>
          </w:tcPr>
          <w:p w:rsidR="00027F65" w:rsidRPr="00B02927" w:rsidRDefault="00027F65" w:rsidP="00395042">
            <w:pPr>
              <w:spacing w:after="0"/>
              <w:jc w:val="both"/>
              <w:rPr>
                <w:lang w:val="en-GB" w:eastAsia="da-DK"/>
              </w:rPr>
            </w:pPr>
            <w:r w:rsidRPr="00B02927">
              <w:rPr>
                <w:lang w:val="en-GB" w:eastAsia="da-DK"/>
              </w:rPr>
              <w:t>Social Infrastruktur</w:t>
            </w:r>
          </w:p>
        </w:tc>
        <w:tc>
          <w:tcPr>
            <w:tcW w:w="1694" w:type="dxa"/>
            <w:tcBorders>
              <w:top w:val="nil"/>
              <w:left w:val="nil"/>
              <w:bottom w:val="single" w:sz="8" w:space="0" w:color="auto"/>
              <w:right w:val="single" w:sz="8" w:space="0" w:color="auto"/>
            </w:tcBorders>
            <w:tcMar>
              <w:top w:w="0" w:type="dxa"/>
              <w:left w:w="108" w:type="dxa"/>
              <w:bottom w:w="0" w:type="dxa"/>
              <w:right w:w="108" w:type="dxa"/>
            </w:tcMar>
            <w:hideMark/>
          </w:tcPr>
          <w:p w:rsidR="00027F65" w:rsidRPr="00B02927" w:rsidRDefault="00E94C4F" w:rsidP="00395042">
            <w:pPr>
              <w:spacing w:after="0"/>
              <w:jc w:val="right"/>
              <w:rPr>
                <w:lang w:val="en-GB" w:eastAsia="da-DK"/>
              </w:rPr>
            </w:pPr>
            <w:r w:rsidRPr="00B02927">
              <w:rPr>
                <w:lang w:val="en-GB" w:eastAsia="da-DK"/>
              </w:rPr>
              <w:t>210</w:t>
            </w:r>
          </w:p>
        </w:tc>
      </w:tr>
      <w:tr w:rsidR="00027F65" w:rsidRPr="00B02927" w:rsidTr="00DB4DEC">
        <w:tc>
          <w:tcPr>
            <w:tcW w:w="7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7F65" w:rsidRPr="00B02927" w:rsidRDefault="00027F65" w:rsidP="00395042">
            <w:pPr>
              <w:spacing w:after="0"/>
              <w:jc w:val="both"/>
              <w:rPr>
                <w:lang w:val="en-GB" w:eastAsia="da-DK"/>
              </w:rPr>
            </w:pPr>
          </w:p>
        </w:tc>
        <w:tc>
          <w:tcPr>
            <w:tcW w:w="7221" w:type="dxa"/>
            <w:tcBorders>
              <w:top w:val="nil"/>
              <w:left w:val="nil"/>
              <w:bottom w:val="single" w:sz="8" w:space="0" w:color="auto"/>
              <w:right w:val="single" w:sz="8" w:space="0" w:color="auto"/>
            </w:tcBorders>
            <w:tcMar>
              <w:top w:w="0" w:type="dxa"/>
              <w:left w:w="108" w:type="dxa"/>
              <w:bottom w:w="0" w:type="dxa"/>
              <w:right w:w="108" w:type="dxa"/>
            </w:tcMar>
            <w:hideMark/>
          </w:tcPr>
          <w:p w:rsidR="00027F65" w:rsidRPr="00B02927" w:rsidRDefault="00027F65" w:rsidP="00395042">
            <w:pPr>
              <w:spacing w:after="0"/>
              <w:jc w:val="both"/>
              <w:rPr>
                <w:lang w:eastAsia="da-DK"/>
              </w:rPr>
            </w:pPr>
            <w:r w:rsidRPr="00B02927">
              <w:rPr>
                <w:lang w:eastAsia="da-DK"/>
              </w:rPr>
              <w:t xml:space="preserve">Vandforsyning og Sanitet (inklusiv </w:t>
            </w:r>
            <w:r w:rsidR="00B02927">
              <w:rPr>
                <w:lang w:eastAsia="da-DK"/>
              </w:rPr>
              <w:t xml:space="preserve">60 mio. kr. gennem </w:t>
            </w:r>
            <w:r w:rsidRPr="00B02927">
              <w:rPr>
                <w:lang w:eastAsia="da-DK"/>
              </w:rPr>
              <w:t>DSIF)</w:t>
            </w:r>
          </w:p>
        </w:tc>
        <w:tc>
          <w:tcPr>
            <w:tcW w:w="1694" w:type="dxa"/>
            <w:tcBorders>
              <w:top w:val="nil"/>
              <w:left w:val="nil"/>
              <w:bottom w:val="single" w:sz="8" w:space="0" w:color="auto"/>
              <w:right w:val="single" w:sz="8" w:space="0" w:color="auto"/>
            </w:tcBorders>
            <w:tcMar>
              <w:top w:w="0" w:type="dxa"/>
              <w:left w:w="108" w:type="dxa"/>
              <w:bottom w:w="0" w:type="dxa"/>
              <w:right w:w="108" w:type="dxa"/>
            </w:tcMar>
            <w:hideMark/>
          </w:tcPr>
          <w:p w:rsidR="00027F65" w:rsidRPr="00B02927" w:rsidRDefault="00E94C4F" w:rsidP="00395042">
            <w:pPr>
              <w:spacing w:after="0"/>
              <w:jc w:val="right"/>
              <w:rPr>
                <w:lang w:eastAsia="da-DK"/>
              </w:rPr>
            </w:pPr>
            <w:r w:rsidRPr="00B02927">
              <w:rPr>
                <w:lang w:eastAsia="da-DK"/>
              </w:rPr>
              <w:t>150</w:t>
            </w:r>
          </w:p>
        </w:tc>
      </w:tr>
      <w:tr w:rsidR="00027F65" w:rsidRPr="00B02927" w:rsidTr="00DB4DEC">
        <w:tc>
          <w:tcPr>
            <w:tcW w:w="7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7F65" w:rsidRPr="00B02927" w:rsidRDefault="00027F65" w:rsidP="00395042">
            <w:pPr>
              <w:spacing w:after="0"/>
              <w:jc w:val="both"/>
              <w:rPr>
                <w:lang w:eastAsia="da-DK"/>
              </w:rPr>
            </w:pPr>
          </w:p>
        </w:tc>
        <w:tc>
          <w:tcPr>
            <w:tcW w:w="7221" w:type="dxa"/>
            <w:tcBorders>
              <w:top w:val="nil"/>
              <w:left w:val="nil"/>
              <w:bottom w:val="single" w:sz="8" w:space="0" w:color="auto"/>
              <w:right w:val="single" w:sz="8" w:space="0" w:color="auto"/>
            </w:tcBorders>
            <w:tcMar>
              <w:top w:w="0" w:type="dxa"/>
              <w:left w:w="108" w:type="dxa"/>
              <w:bottom w:w="0" w:type="dxa"/>
              <w:right w:w="108" w:type="dxa"/>
            </w:tcMar>
            <w:hideMark/>
          </w:tcPr>
          <w:p w:rsidR="00027F65" w:rsidRPr="00B02927" w:rsidRDefault="00027F65" w:rsidP="00395042">
            <w:pPr>
              <w:spacing w:after="0"/>
              <w:jc w:val="both"/>
              <w:rPr>
                <w:lang w:eastAsia="da-DK"/>
              </w:rPr>
            </w:pPr>
            <w:r w:rsidRPr="00B02927">
              <w:rPr>
                <w:lang w:eastAsia="da-DK"/>
              </w:rPr>
              <w:t>Energiforsyning</w:t>
            </w:r>
          </w:p>
        </w:tc>
        <w:tc>
          <w:tcPr>
            <w:tcW w:w="1694" w:type="dxa"/>
            <w:tcBorders>
              <w:top w:val="nil"/>
              <w:left w:val="nil"/>
              <w:bottom w:val="single" w:sz="8" w:space="0" w:color="auto"/>
              <w:right w:val="single" w:sz="8" w:space="0" w:color="auto"/>
            </w:tcBorders>
            <w:tcMar>
              <w:top w:w="0" w:type="dxa"/>
              <w:left w:w="108" w:type="dxa"/>
              <w:bottom w:w="0" w:type="dxa"/>
              <w:right w:w="108" w:type="dxa"/>
            </w:tcMar>
            <w:hideMark/>
          </w:tcPr>
          <w:p w:rsidR="00027F65" w:rsidRPr="00B02927" w:rsidRDefault="00D113E3" w:rsidP="00395042">
            <w:pPr>
              <w:spacing w:after="0"/>
              <w:jc w:val="right"/>
              <w:rPr>
                <w:lang w:eastAsia="da-DK"/>
              </w:rPr>
            </w:pPr>
            <w:r w:rsidRPr="00B02927">
              <w:rPr>
                <w:lang w:eastAsia="da-DK"/>
              </w:rPr>
              <w:t>75</w:t>
            </w:r>
          </w:p>
        </w:tc>
      </w:tr>
      <w:tr w:rsidR="00027F65" w:rsidRPr="00B02927" w:rsidTr="00DB4DEC">
        <w:tc>
          <w:tcPr>
            <w:tcW w:w="7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7F65" w:rsidRPr="00B02927" w:rsidRDefault="00027F65" w:rsidP="00395042">
            <w:pPr>
              <w:spacing w:after="0"/>
              <w:jc w:val="both"/>
              <w:rPr>
                <w:lang w:eastAsia="da-DK"/>
              </w:rPr>
            </w:pPr>
          </w:p>
        </w:tc>
        <w:tc>
          <w:tcPr>
            <w:tcW w:w="7221" w:type="dxa"/>
            <w:tcBorders>
              <w:top w:val="nil"/>
              <w:left w:val="nil"/>
              <w:bottom w:val="single" w:sz="8" w:space="0" w:color="auto"/>
              <w:right w:val="single" w:sz="8" w:space="0" w:color="auto"/>
            </w:tcBorders>
            <w:tcMar>
              <w:top w:w="0" w:type="dxa"/>
              <w:left w:w="108" w:type="dxa"/>
              <w:bottom w:w="0" w:type="dxa"/>
              <w:right w:w="108" w:type="dxa"/>
            </w:tcMar>
            <w:hideMark/>
          </w:tcPr>
          <w:p w:rsidR="00027F65" w:rsidRPr="00B02927" w:rsidRDefault="00027F65" w:rsidP="00395042">
            <w:pPr>
              <w:spacing w:after="0"/>
              <w:jc w:val="both"/>
              <w:rPr>
                <w:lang w:eastAsia="da-DK"/>
              </w:rPr>
            </w:pPr>
            <w:r w:rsidRPr="00B02927">
              <w:rPr>
                <w:lang w:eastAsia="da-DK"/>
              </w:rPr>
              <w:t>Landbrug</w:t>
            </w:r>
          </w:p>
        </w:tc>
        <w:tc>
          <w:tcPr>
            <w:tcW w:w="1694" w:type="dxa"/>
            <w:tcBorders>
              <w:top w:val="nil"/>
              <w:left w:val="nil"/>
              <w:bottom w:val="single" w:sz="8" w:space="0" w:color="auto"/>
              <w:right w:val="single" w:sz="8" w:space="0" w:color="auto"/>
            </w:tcBorders>
            <w:tcMar>
              <w:top w:w="0" w:type="dxa"/>
              <w:left w:w="108" w:type="dxa"/>
              <w:bottom w:w="0" w:type="dxa"/>
              <w:right w:w="108" w:type="dxa"/>
            </w:tcMar>
            <w:hideMark/>
          </w:tcPr>
          <w:p w:rsidR="00027F65" w:rsidRPr="00B02927" w:rsidRDefault="00027F65" w:rsidP="00395042">
            <w:pPr>
              <w:spacing w:after="0"/>
              <w:jc w:val="right"/>
              <w:rPr>
                <w:lang w:eastAsia="da-DK"/>
              </w:rPr>
            </w:pPr>
            <w:r w:rsidRPr="00B02927">
              <w:rPr>
                <w:lang w:eastAsia="da-DK"/>
              </w:rPr>
              <w:t>25</w:t>
            </w:r>
          </w:p>
        </w:tc>
      </w:tr>
      <w:tr w:rsidR="00027F65" w:rsidRPr="00B02927" w:rsidTr="00DB4DEC">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7F65" w:rsidRPr="00B02927" w:rsidRDefault="00027F65" w:rsidP="00395042">
            <w:pPr>
              <w:spacing w:after="0"/>
              <w:jc w:val="both"/>
              <w:rPr>
                <w:lang w:eastAsia="da-DK"/>
              </w:rPr>
            </w:pPr>
            <w:r w:rsidRPr="00B02927">
              <w:rPr>
                <w:lang w:eastAsia="da-DK"/>
              </w:rPr>
              <w:t>Nationalt niveau</w:t>
            </w:r>
          </w:p>
        </w:tc>
        <w:tc>
          <w:tcPr>
            <w:tcW w:w="1694" w:type="dxa"/>
            <w:tcBorders>
              <w:top w:val="nil"/>
              <w:left w:val="nil"/>
              <w:bottom w:val="single" w:sz="8" w:space="0" w:color="auto"/>
              <w:right w:val="single" w:sz="8" w:space="0" w:color="auto"/>
            </w:tcBorders>
            <w:tcMar>
              <w:top w:w="0" w:type="dxa"/>
              <w:left w:w="108" w:type="dxa"/>
              <w:bottom w:w="0" w:type="dxa"/>
              <w:right w:w="108" w:type="dxa"/>
            </w:tcMar>
            <w:hideMark/>
          </w:tcPr>
          <w:p w:rsidR="00027F65" w:rsidRPr="00B02927" w:rsidRDefault="00027F65" w:rsidP="00395042">
            <w:pPr>
              <w:spacing w:after="0"/>
              <w:jc w:val="both"/>
              <w:rPr>
                <w:lang w:eastAsia="da-DK"/>
              </w:rPr>
            </w:pPr>
            <w:r w:rsidRPr="00B02927">
              <w:rPr>
                <w:lang w:eastAsia="da-DK"/>
              </w:rPr>
              <w:t>310</w:t>
            </w:r>
          </w:p>
        </w:tc>
      </w:tr>
      <w:tr w:rsidR="00027F65" w:rsidRPr="00B02927" w:rsidTr="00DB4DEC">
        <w:trPr>
          <w:trHeight w:val="196"/>
        </w:trPr>
        <w:tc>
          <w:tcPr>
            <w:tcW w:w="7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7F65" w:rsidRPr="00B02927" w:rsidRDefault="00027F65" w:rsidP="00395042">
            <w:pPr>
              <w:spacing w:after="0"/>
              <w:jc w:val="both"/>
              <w:rPr>
                <w:lang w:eastAsia="da-DK"/>
              </w:rPr>
            </w:pPr>
          </w:p>
          <w:p w:rsidR="00027F65" w:rsidRPr="00B02927" w:rsidRDefault="00027F65" w:rsidP="00395042">
            <w:pPr>
              <w:spacing w:after="0"/>
              <w:jc w:val="both"/>
              <w:rPr>
                <w:lang w:eastAsia="da-DK"/>
              </w:rPr>
            </w:pPr>
          </w:p>
        </w:tc>
        <w:tc>
          <w:tcPr>
            <w:tcW w:w="7221" w:type="dxa"/>
            <w:tcBorders>
              <w:top w:val="nil"/>
              <w:left w:val="nil"/>
              <w:bottom w:val="single" w:sz="8" w:space="0" w:color="auto"/>
              <w:right w:val="single" w:sz="8" w:space="0" w:color="auto"/>
            </w:tcBorders>
            <w:tcMar>
              <w:top w:w="0" w:type="dxa"/>
              <w:left w:w="108" w:type="dxa"/>
              <w:bottom w:w="0" w:type="dxa"/>
              <w:right w:w="108" w:type="dxa"/>
            </w:tcMar>
            <w:hideMark/>
          </w:tcPr>
          <w:p w:rsidR="00027F65" w:rsidRPr="00B02927" w:rsidRDefault="00027F65" w:rsidP="00395042">
            <w:pPr>
              <w:spacing w:after="0"/>
              <w:jc w:val="both"/>
              <w:rPr>
                <w:lang w:eastAsia="da-DK"/>
              </w:rPr>
            </w:pPr>
            <w:r w:rsidRPr="00B02927">
              <w:rPr>
                <w:lang w:eastAsia="da-DK"/>
              </w:rPr>
              <w:t>IFU – Private investeringer</w:t>
            </w:r>
          </w:p>
        </w:tc>
        <w:tc>
          <w:tcPr>
            <w:tcW w:w="1694" w:type="dxa"/>
            <w:tcBorders>
              <w:top w:val="nil"/>
              <w:left w:val="nil"/>
              <w:bottom w:val="single" w:sz="8" w:space="0" w:color="auto"/>
              <w:right w:val="single" w:sz="8" w:space="0" w:color="auto"/>
            </w:tcBorders>
            <w:tcMar>
              <w:top w:w="0" w:type="dxa"/>
              <w:left w:w="108" w:type="dxa"/>
              <w:bottom w:w="0" w:type="dxa"/>
              <w:right w:w="108" w:type="dxa"/>
            </w:tcMar>
            <w:hideMark/>
          </w:tcPr>
          <w:p w:rsidR="00027F65" w:rsidRPr="00B02927" w:rsidRDefault="00D113E3" w:rsidP="00395042">
            <w:pPr>
              <w:spacing w:after="0"/>
              <w:jc w:val="right"/>
              <w:rPr>
                <w:lang w:eastAsia="da-DK"/>
              </w:rPr>
            </w:pPr>
            <w:r w:rsidRPr="00B02927">
              <w:rPr>
                <w:lang w:eastAsia="da-DK"/>
              </w:rPr>
              <w:t>110</w:t>
            </w:r>
          </w:p>
        </w:tc>
      </w:tr>
      <w:tr w:rsidR="00027F65" w:rsidRPr="00B02927" w:rsidTr="00DB4DEC">
        <w:tc>
          <w:tcPr>
            <w:tcW w:w="7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7F65" w:rsidRPr="00B02927" w:rsidRDefault="00027F65" w:rsidP="00395042">
            <w:pPr>
              <w:spacing w:after="0"/>
              <w:jc w:val="both"/>
              <w:rPr>
                <w:lang w:eastAsia="da-DK"/>
              </w:rPr>
            </w:pPr>
          </w:p>
        </w:tc>
        <w:tc>
          <w:tcPr>
            <w:tcW w:w="7221" w:type="dxa"/>
            <w:tcBorders>
              <w:top w:val="nil"/>
              <w:left w:val="nil"/>
              <w:bottom w:val="single" w:sz="8" w:space="0" w:color="auto"/>
              <w:right w:val="single" w:sz="8" w:space="0" w:color="auto"/>
            </w:tcBorders>
            <w:tcMar>
              <w:top w:w="0" w:type="dxa"/>
              <w:left w:w="108" w:type="dxa"/>
              <w:bottom w:w="0" w:type="dxa"/>
              <w:right w:w="108" w:type="dxa"/>
            </w:tcMar>
            <w:hideMark/>
          </w:tcPr>
          <w:p w:rsidR="00027F65" w:rsidRPr="00B02927" w:rsidRDefault="00027F65" w:rsidP="00395042">
            <w:pPr>
              <w:spacing w:after="0"/>
              <w:jc w:val="both"/>
              <w:rPr>
                <w:lang w:eastAsia="da-DK"/>
              </w:rPr>
            </w:pPr>
            <w:r w:rsidRPr="00B02927">
              <w:rPr>
                <w:lang w:eastAsia="da-DK"/>
              </w:rPr>
              <w:t>Energi infrastruktur</w:t>
            </w:r>
          </w:p>
        </w:tc>
        <w:tc>
          <w:tcPr>
            <w:tcW w:w="1694" w:type="dxa"/>
            <w:tcBorders>
              <w:top w:val="nil"/>
              <w:left w:val="nil"/>
              <w:bottom w:val="single" w:sz="8" w:space="0" w:color="auto"/>
              <w:right w:val="single" w:sz="8" w:space="0" w:color="auto"/>
            </w:tcBorders>
            <w:tcMar>
              <w:top w:w="0" w:type="dxa"/>
              <w:left w:w="108" w:type="dxa"/>
              <w:bottom w:w="0" w:type="dxa"/>
              <w:right w:w="108" w:type="dxa"/>
            </w:tcMar>
            <w:hideMark/>
          </w:tcPr>
          <w:p w:rsidR="00027F65" w:rsidRPr="00B02927" w:rsidRDefault="00027F65" w:rsidP="00395042">
            <w:pPr>
              <w:spacing w:after="0"/>
              <w:jc w:val="right"/>
              <w:rPr>
                <w:lang w:eastAsia="da-DK"/>
              </w:rPr>
            </w:pPr>
            <w:r w:rsidRPr="00B02927">
              <w:rPr>
                <w:lang w:eastAsia="da-DK"/>
              </w:rPr>
              <w:t>100</w:t>
            </w:r>
          </w:p>
        </w:tc>
      </w:tr>
      <w:tr w:rsidR="00027F65" w:rsidRPr="00B02927" w:rsidTr="00DB4DEC">
        <w:tc>
          <w:tcPr>
            <w:tcW w:w="7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7F65" w:rsidRPr="00B02927" w:rsidRDefault="00027F65" w:rsidP="00395042">
            <w:pPr>
              <w:spacing w:after="0"/>
              <w:jc w:val="both"/>
              <w:rPr>
                <w:lang w:eastAsia="da-DK"/>
              </w:rPr>
            </w:pPr>
          </w:p>
        </w:tc>
        <w:tc>
          <w:tcPr>
            <w:tcW w:w="7221" w:type="dxa"/>
            <w:tcBorders>
              <w:top w:val="nil"/>
              <w:left w:val="nil"/>
              <w:bottom w:val="single" w:sz="8" w:space="0" w:color="auto"/>
              <w:right w:val="single" w:sz="8" w:space="0" w:color="auto"/>
            </w:tcBorders>
            <w:tcMar>
              <w:top w:w="0" w:type="dxa"/>
              <w:left w:w="108" w:type="dxa"/>
              <w:bottom w:w="0" w:type="dxa"/>
              <w:right w:w="108" w:type="dxa"/>
            </w:tcMar>
            <w:hideMark/>
          </w:tcPr>
          <w:p w:rsidR="00027F65" w:rsidRPr="00B02927" w:rsidRDefault="00D113E3" w:rsidP="00395042">
            <w:pPr>
              <w:spacing w:after="0"/>
              <w:jc w:val="both"/>
              <w:rPr>
                <w:lang w:eastAsia="da-DK"/>
              </w:rPr>
            </w:pPr>
            <w:r w:rsidRPr="00B02927">
              <w:rPr>
                <w:lang w:eastAsia="da-DK"/>
              </w:rPr>
              <w:t>Kommune</w:t>
            </w:r>
            <w:r w:rsidR="00027F65" w:rsidRPr="00B02927">
              <w:rPr>
                <w:lang w:eastAsia="da-DK"/>
              </w:rPr>
              <w:t>-twinning, involvering af civilsamfundet</w:t>
            </w:r>
            <w:r w:rsidRPr="00B02927">
              <w:rPr>
                <w:lang w:eastAsia="da-DK"/>
              </w:rPr>
              <w:t xml:space="preserve"> og transport af doneret udstyr</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027F65" w:rsidRPr="00B02927" w:rsidRDefault="00027F65" w:rsidP="00395042">
            <w:pPr>
              <w:spacing w:after="0"/>
              <w:jc w:val="right"/>
              <w:rPr>
                <w:lang w:eastAsia="da-DK"/>
              </w:rPr>
            </w:pPr>
            <w:r w:rsidRPr="00B02927">
              <w:rPr>
                <w:lang w:eastAsia="da-DK"/>
              </w:rPr>
              <w:t>100</w:t>
            </w:r>
          </w:p>
        </w:tc>
      </w:tr>
    </w:tbl>
    <w:p w:rsidR="00693DFE" w:rsidRPr="00B02927" w:rsidRDefault="00693DFE" w:rsidP="00395042">
      <w:pPr>
        <w:jc w:val="both"/>
        <w:rPr>
          <w:b/>
        </w:rPr>
      </w:pPr>
    </w:p>
    <w:p w:rsidR="00874BCF" w:rsidRPr="00D8638B" w:rsidRDefault="00874BCF" w:rsidP="00395042"/>
    <w:p w:rsidR="00633F63" w:rsidRDefault="00633F63" w:rsidP="00395042">
      <w:pPr>
        <w:pStyle w:val="Overskrift1"/>
        <w:numPr>
          <w:ilvl w:val="0"/>
          <w:numId w:val="9"/>
        </w:numPr>
      </w:pPr>
      <w:bookmarkStart w:id="26" w:name="_Toc133169483"/>
      <w:r>
        <w:t>Monitorering</w:t>
      </w:r>
      <w:bookmarkEnd w:id="26"/>
      <w:r w:rsidR="005821D2">
        <w:t xml:space="preserve"> </w:t>
      </w:r>
    </w:p>
    <w:p w:rsidR="00947A18" w:rsidRDefault="007B6556" w:rsidP="00395042">
      <w:pPr>
        <w:jc w:val="both"/>
      </w:pPr>
      <w:r w:rsidRPr="004F3B85">
        <w:t>I tæt samarbejde med den danske ambassade i Kyiv</w:t>
      </w:r>
      <w:r w:rsidR="0049407D" w:rsidRPr="004F3B85">
        <w:t>,</w:t>
      </w:r>
      <w:r w:rsidRPr="004F3B85">
        <w:t xml:space="preserve"> ambassadekontoret i Mykolaiv og fagkontorer i Udenrigsministeriet</w:t>
      </w:r>
      <w:r w:rsidR="00EA3A62" w:rsidRPr="004F3B85">
        <w:t xml:space="preserve">, vil </w:t>
      </w:r>
      <w:r w:rsidRPr="004F3B85">
        <w:t>Kontor</w:t>
      </w:r>
      <w:r w:rsidR="00EA3A62" w:rsidRPr="004F3B85">
        <w:t>et</w:t>
      </w:r>
      <w:r w:rsidRPr="004F3B85">
        <w:t xml:space="preserve"> for Europæisk Naboskab </w:t>
      </w:r>
      <w:r w:rsidR="00EA3A62" w:rsidRPr="004F3B85">
        <w:t xml:space="preserve">(EUN) </w:t>
      </w:r>
      <w:r w:rsidRPr="004F3B85">
        <w:t>følge udviklingen i Ukraine</w:t>
      </w:r>
      <w:r w:rsidR="00EA3A62" w:rsidRPr="004F3B85">
        <w:t xml:space="preserve"> </w:t>
      </w:r>
      <w:r w:rsidR="004F3B85">
        <w:t xml:space="preserve">og Mykolaiv </w:t>
      </w:r>
      <w:r w:rsidR="00EA3A62" w:rsidRPr="004F3B85">
        <w:t>med henblik på løbende at justere og imødekomme</w:t>
      </w:r>
      <w:r w:rsidRPr="004F3B85">
        <w:t xml:space="preserve"> risici </w:t>
      </w:r>
      <w:r w:rsidR="00EA3A62" w:rsidRPr="004F3B85">
        <w:t>samt</w:t>
      </w:r>
      <w:r w:rsidRPr="004F3B85">
        <w:t xml:space="preserve"> </w:t>
      </w:r>
      <w:r w:rsidR="00EA3A62" w:rsidRPr="004F3B85">
        <w:t xml:space="preserve">dokumentere </w:t>
      </w:r>
      <w:r w:rsidRPr="004F3B85">
        <w:t>opnåede fremskridt i forhold til de opstillede mål</w:t>
      </w:r>
      <w:r w:rsidR="00EA3A62" w:rsidRPr="004F3B85">
        <w:t xml:space="preserve"> </w:t>
      </w:r>
      <w:r w:rsidRPr="004F3B85">
        <w:t>i Strategi</w:t>
      </w:r>
      <w:r w:rsidR="00FD4B4F">
        <w:t>noten</w:t>
      </w:r>
      <w:r w:rsidRPr="004F3B85">
        <w:t xml:space="preserve">. </w:t>
      </w:r>
      <w:r w:rsidR="00947A18" w:rsidRPr="00947A18">
        <w:t>Den overordnede opfølgning på dansk støtte til genopbygning</w:t>
      </w:r>
      <w:r w:rsidR="00E45B86">
        <w:t>en af Ukraine</w:t>
      </w:r>
      <w:r w:rsidR="00947A18" w:rsidRPr="00947A18">
        <w:t>, herunder beslutning om justeringer, vil finde</w:t>
      </w:r>
      <w:r w:rsidR="001A4E1B">
        <w:t xml:space="preserve"> sted</w:t>
      </w:r>
      <w:r w:rsidR="00947A18" w:rsidRPr="00947A18">
        <w:t xml:space="preserve"> i Styrekomiteen </w:t>
      </w:r>
      <w:r w:rsidR="00E45B86">
        <w:t>for Mykolaiv-Danmark Partnerskabet (MDP)</w:t>
      </w:r>
      <w:r w:rsidR="00947A18" w:rsidRPr="00947A18">
        <w:t xml:space="preserve">. Der vil tillige ske en erfaringsudveksling med multilaterale partnere, EU og andre </w:t>
      </w:r>
      <w:r w:rsidR="004B260D">
        <w:t>donorer</w:t>
      </w:r>
      <w:r w:rsidR="00947A18" w:rsidRPr="00947A18">
        <w:t xml:space="preserve">. </w:t>
      </w:r>
    </w:p>
    <w:p w:rsidR="00806464" w:rsidRPr="00AA0807" w:rsidRDefault="007B6556" w:rsidP="00806464">
      <w:pPr>
        <w:rPr>
          <w:rFonts w:ascii="Arial" w:hAnsi="Arial" w:cs="Arial"/>
          <w:sz w:val="16"/>
          <w:szCs w:val="16"/>
        </w:rPr>
      </w:pPr>
      <w:r w:rsidRPr="004F3B85">
        <w:t xml:space="preserve">Monitorering </w:t>
      </w:r>
      <w:r w:rsidR="00947A18">
        <w:t xml:space="preserve">af de enkelte indsatser </w:t>
      </w:r>
      <w:r w:rsidRPr="004F3B85">
        <w:t xml:space="preserve">vil omfatte </w:t>
      </w:r>
      <w:r w:rsidR="00DD6B19">
        <w:t xml:space="preserve">løbende </w:t>
      </w:r>
      <w:r w:rsidRPr="004F3B85">
        <w:t xml:space="preserve">dialog med </w:t>
      </w:r>
      <w:r w:rsidR="00DD6B19">
        <w:t xml:space="preserve">og afrapportering fra </w:t>
      </w:r>
      <w:r w:rsidRPr="004F3B85">
        <w:t xml:space="preserve">partnere </w:t>
      </w:r>
      <w:r w:rsidR="00EA3A62" w:rsidRPr="004F3B85">
        <w:t>i</w:t>
      </w:r>
      <w:r w:rsidRPr="004F3B85">
        <w:t xml:space="preserve"> Mykolaiv/Ukraine</w:t>
      </w:r>
      <w:r w:rsidR="009E6444">
        <w:t>.</w:t>
      </w:r>
      <w:r w:rsidRPr="004F3B85">
        <w:t xml:space="preserve"> Monitorering af genopbygningsindsatsen på projektniveau vil ske i henhold til Udenrigsministeriets</w:t>
      </w:r>
      <w:r w:rsidR="004B260D">
        <w:t xml:space="preserve"> retningslinjer for bistandsforvaltning</w:t>
      </w:r>
      <w:r w:rsidRPr="004F3B85">
        <w:t xml:space="preserve"> </w:t>
      </w:r>
      <w:r w:rsidR="00EA3A62" w:rsidRPr="004F3B85">
        <w:t>(</w:t>
      </w:r>
      <w:r w:rsidRPr="004F3B85">
        <w:t>Aid Management Guidelines</w:t>
      </w:r>
      <w:r w:rsidR="00947A18">
        <w:t>)</w:t>
      </w:r>
      <w:r w:rsidR="007B7ADC">
        <w:t>.</w:t>
      </w:r>
      <w:r w:rsidR="00C5186A" w:rsidRPr="004F3B85">
        <w:t xml:space="preserve"> </w:t>
      </w:r>
      <w:r w:rsidR="009B6D01" w:rsidRPr="004F3B85">
        <w:t>Usikkerheden pga</w:t>
      </w:r>
      <w:r w:rsidR="001A4E1B">
        <w:t>.</w:t>
      </w:r>
      <w:r w:rsidR="009B6D01" w:rsidRPr="004F3B85">
        <w:t xml:space="preserve"> krigen stille</w:t>
      </w:r>
      <w:r w:rsidR="009E6444">
        <w:t>r</w:t>
      </w:r>
      <w:r w:rsidR="009B6D01" w:rsidRPr="004F3B85">
        <w:t xml:space="preserve"> krav om en </w:t>
      </w:r>
      <w:r w:rsidR="009E6444">
        <w:t xml:space="preserve">agil, </w:t>
      </w:r>
      <w:r w:rsidRPr="004F3B85">
        <w:t>adaptiv</w:t>
      </w:r>
      <w:r w:rsidR="009B6D01" w:rsidRPr="004F3B85">
        <w:t>, fleksibel</w:t>
      </w:r>
      <w:r w:rsidRPr="004F3B85">
        <w:t xml:space="preserve"> og lærende tilgang </w:t>
      </w:r>
      <w:r w:rsidR="009B6D01" w:rsidRPr="004F3B85">
        <w:t xml:space="preserve">med </w:t>
      </w:r>
      <w:r w:rsidRPr="004F3B85">
        <w:t>tæt og løbende monitorering</w:t>
      </w:r>
      <w:r w:rsidR="009E6444">
        <w:t>, og informeret af principperne om Doing Development Differently</w:t>
      </w:r>
      <w:r w:rsidR="00806464">
        <w:t xml:space="preserve">. </w:t>
      </w:r>
      <w:r w:rsidRPr="004F3B85">
        <w:t xml:space="preserve">Der vil i formuleringen </w:t>
      </w:r>
      <w:r w:rsidR="00C5186A" w:rsidRPr="004F3B85">
        <w:t xml:space="preserve">af de enkelte indsatser </w:t>
      </w:r>
      <w:r w:rsidRPr="004F3B85">
        <w:t>blive lagt vægt på</w:t>
      </w:r>
      <w:r w:rsidR="0049407D" w:rsidRPr="004F3B85">
        <w:t xml:space="preserve"> </w:t>
      </w:r>
      <w:r w:rsidRPr="004F3B85">
        <w:t>etabler</w:t>
      </w:r>
      <w:r w:rsidR="0049407D" w:rsidRPr="004F3B85">
        <w:t>ing af</w:t>
      </w:r>
      <w:r w:rsidRPr="004F3B85">
        <w:t xml:space="preserve"> mekanismer </w:t>
      </w:r>
      <w:r w:rsidR="008D6F06">
        <w:t>med</w:t>
      </w:r>
      <w:r w:rsidR="001A4E1B">
        <w:t xml:space="preserve"> </w:t>
      </w:r>
      <w:r w:rsidR="008D6F06">
        <w:t xml:space="preserve">henblik på at kunne </w:t>
      </w:r>
      <w:r w:rsidRPr="004F3B85">
        <w:t xml:space="preserve">følge </w:t>
      </w:r>
      <w:r w:rsidR="00C5186A" w:rsidRPr="004F3B85">
        <w:t xml:space="preserve">gennemførelsen af aktiviteter </w:t>
      </w:r>
      <w:r w:rsidRPr="004F3B85">
        <w:t xml:space="preserve">og </w:t>
      </w:r>
      <w:r w:rsidR="00C5186A" w:rsidRPr="004F3B85">
        <w:t xml:space="preserve">for at kunne </w:t>
      </w:r>
      <w:r w:rsidR="009B6D01" w:rsidRPr="004F3B85">
        <w:t xml:space="preserve">foretage </w:t>
      </w:r>
      <w:r w:rsidR="00C5186A" w:rsidRPr="004F3B85">
        <w:t>evt.</w:t>
      </w:r>
      <w:r w:rsidR="009B6D01" w:rsidRPr="004F3B85">
        <w:t xml:space="preserve"> justeringer </w:t>
      </w:r>
      <w:r w:rsidR="00C5186A" w:rsidRPr="004F3B85">
        <w:t xml:space="preserve">for bedst muligt at opnå resultater i en </w:t>
      </w:r>
      <w:r w:rsidR="0049407D" w:rsidRPr="004F3B85">
        <w:t xml:space="preserve">formentlig foranderlig </w:t>
      </w:r>
      <w:r w:rsidRPr="004F3B85">
        <w:t xml:space="preserve">kontekst. </w:t>
      </w:r>
      <w:r w:rsidR="000B32BF" w:rsidRPr="004F3B85">
        <w:t xml:space="preserve">Som del af </w:t>
      </w:r>
      <w:r w:rsidR="000B32BF" w:rsidRPr="004F3B85">
        <w:lastRenderedPageBreak/>
        <w:t xml:space="preserve">monitorering og læring vil </w:t>
      </w:r>
      <w:r w:rsidR="000B32BF">
        <w:t>det blive undersøgt, om der kan etableres såkaldt følgeforskning.</w:t>
      </w:r>
      <w:r w:rsidR="000B32BF" w:rsidRPr="004F3B85">
        <w:t xml:space="preserve"> </w:t>
      </w:r>
      <w:r w:rsidRPr="004F3B85">
        <w:t>Kontoret for Europæisk Naboskab vil have det over</w:t>
      </w:r>
      <w:r w:rsidR="007B7ADC">
        <w:t>ordnede ansvar for monitorering.</w:t>
      </w:r>
    </w:p>
    <w:p w:rsidR="00806464" w:rsidRPr="00AA0807" w:rsidRDefault="00806464" w:rsidP="00395042">
      <w:pPr>
        <w:jc w:val="both"/>
        <w:rPr>
          <w:rFonts w:ascii="Arial" w:hAnsi="Arial" w:cs="Arial"/>
          <w:sz w:val="16"/>
          <w:szCs w:val="16"/>
        </w:rPr>
      </w:pPr>
    </w:p>
    <w:sectPr w:rsidR="00806464" w:rsidRPr="00AA0807">
      <w:footerReference w:type="default" r:id="rId8"/>
      <w:pgSz w:w="11906" w:h="16838"/>
      <w:pgMar w:top="1701" w:right="1134" w:bottom="1701"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55213" w16cex:dateUtc="2023-04-15T14:40:00Z"/>
  <w16cex:commentExtensible w16cex:durableId="27E55242" w16cex:dateUtc="2023-04-15T14:41:00Z"/>
  <w16cex:commentExtensible w16cex:durableId="27E57631" w16cex:dateUtc="2023-04-15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C8CD47" w16cid:durableId="27E519CC"/>
  <w16cid:commentId w16cid:paraId="03D8C02C" w16cid:durableId="27E55213"/>
  <w16cid:commentId w16cid:paraId="0CC69B59" w16cid:durableId="27E55242"/>
  <w16cid:commentId w16cid:paraId="3A569DEC" w16cid:durableId="27E57631"/>
  <w16cid:commentId w16cid:paraId="3450E794" w16cid:durableId="27E519CE"/>
  <w16cid:commentId w16cid:paraId="1ED0F262" w16cid:durableId="27E519CF"/>
  <w16cid:commentId w16cid:paraId="50EF565E" w16cid:durableId="27E519D0"/>
  <w16cid:commentId w16cid:paraId="08D139E8" w16cid:durableId="27E519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3A1" w:rsidRDefault="009723A1" w:rsidP="000F73EF">
      <w:pPr>
        <w:spacing w:after="0" w:line="240" w:lineRule="auto"/>
      </w:pPr>
      <w:r>
        <w:separator/>
      </w:r>
    </w:p>
  </w:endnote>
  <w:endnote w:type="continuationSeparator" w:id="0">
    <w:p w:rsidR="009723A1" w:rsidRDefault="009723A1" w:rsidP="000F7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tro Serif Ligh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774792"/>
      <w:docPartObj>
        <w:docPartGallery w:val="Page Numbers (Bottom of Page)"/>
        <w:docPartUnique/>
      </w:docPartObj>
    </w:sdtPr>
    <w:sdtEndPr/>
    <w:sdtContent>
      <w:p w:rsidR="009723A1" w:rsidRDefault="009723A1">
        <w:pPr>
          <w:pStyle w:val="Sidefod"/>
          <w:jc w:val="center"/>
        </w:pPr>
        <w:r>
          <w:fldChar w:fldCharType="begin"/>
        </w:r>
        <w:r>
          <w:instrText>PAGE   \* MERGEFORMAT</w:instrText>
        </w:r>
        <w:r>
          <w:fldChar w:fldCharType="separate"/>
        </w:r>
        <w:r w:rsidR="003C1402">
          <w:rPr>
            <w:noProof/>
          </w:rPr>
          <w:t>2</w:t>
        </w:r>
        <w:r>
          <w:fldChar w:fldCharType="end"/>
        </w:r>
      </w:p>
    </w:sdtContent>
  </w:sdt>
  <w:p w:rsidR="009723A1" w:rsidRDefault="009723A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3A1" w:rsidRDefault="009723A1" w:rsidP="000F73EF">
      <w:pPr>
        <w:spacing w:after="0" w:line="240" w:lineRule="auto"/>
      </w:pPr>
      <w:r>
        <w:separator/>
      </w:r>
    </w:p>
  </w:footnote>
  <w:footnote w:type="continuationSeparator" w:id="0">
    <w:p w:rsidR="009723A1" w:rsidRDefault="009723A1" w:rsidP="000F73EF">
      <w:pPr>
        <w:spacing w:after="0" w:line="240" w:lineRule="auto"/>
      </w:pPr>
      <w:r>
        <w:continuationSeparator/>
      </w:r>
    </w:p>
  </w:footnote>
  <w:footnote w:id="1">
    <w:p w:rsidR="009723A1" w:rsidRDefault="009723A1" w:rsidP="003E2CA5">
      <w:pPr>
        <w:pStyle w:val="Fodnotetekst"/>
        <w:rPr>
          <w:lang w:val="en-US"/>
        </w:rPr>
      </w:pPr>
      <w:r>
        <w:rPr>
          <w:rStyle w:val="Fodnotehenvisning"/>
        </w:rPr>
        <w:footnoteRef/>
      </w:r>
      <w:r>
        <w:rPr>
          <w:lang w:val="en-US"/>
        </w:rPr>
        <w:t xml:space="preserve"> </w:t>
      </w:r>
      <w:r>
        <w:rPr>
          <w:sz w:val="16"/>
          <w:szCs w:val="16"/>
          <w:lang w:val="en-US"/>
        </w:rPr>
        <w:t>‘</w:t>
      </w:r>
      <w:r>
        <w:rPr>
          <w:rFonts w:cs="Arial"/>
          <w:bCs/>
          <w:color w:val="000000"/>
          <w:sz w:val="16"/>
          <w:szCs w:val="16"/>
          <w:lang w:val="en-US"/>
        </w:rPr>
        <w:t>Ukraine - Rapid Damage and Needs Assessment : February 2022 – 2023’ T</w:t>
      </w:r>
      <w:r>
        <w:rPr>
          <w:sz w:val="16"/>
          <w:szCs w:val="16"/>
          <w:lang w:val="en-US"/>
        </w:rPr>
        <w:t xml:space="preserve">he World Bank, the Government of Ukraine, the European Union) </w:t>
      </w:r>
      <w:hyperlink r:id="rId1" w:history="1">
        <w:r>
          <w:rPr>
            <w:rStyle w:val="Hyperlink"/>
            <w:sz w:val="16"/>
            <w:szCs w:val="16"/>
            <w:lang w:val="en-US"/>
          </w:rPr>
          <w:t>Ukraine - Rapid Damage and Needs Assessment : February 2022 – 2023 (worldbank.org)</w:t>
        </w:r>
      </w:hyperlink>
    </w:p>
  </w:footnote>
  <w:footnote w:id="2">
    <w:p w:rsidR="009723A1" w:rsidRPr="00644D84" w:rsidRDefault="009723A1">
      <w:pPr>
        <w:pStyle w:val="Fodnotetekst"/>
        <w:rPr>
          <w:sz w:val="16"/>
          <w:szCs w:val="16"/>
        </w:rPr>
      </w:pPr>
      <w:r w:rsidRPr="00005A8E">
        <w:rPr>
          <w:rStyle w:val="Fodnotehenvisning"/>
          <w:sz w:val="18"/>
          <w:szCs w:val="18"/>
        </w:rPr>
        <w:footnoteRef/>
      </w:r>
      <w:r w:rsidRPr="00005A8E">
        <w:rPr>
          <w:sz w:val="18"/>
          <w:szCs w:val="18"/>
        </w:rPr>
        <w:t xml:space="preserve"> </w:t>
      </w:r>
      <w:r w:rsidRPr="00005A8E">
        <w:rPr>
          <w:sz w:val="16"/>
          <w:szCs w:val="16"/>
        </w:rPr>
        <w:t xml:space="preserve">Gennemgang af ødelæggelser og behov i Mykolaiv bygger på fire sektorstudier udarbejdet af COWI, 18 april 2023, </w:t>
      </w:r>
      <w:r w:rsidRPr="00015AEC">
        <w:rPr>
          <w:sz w:val="16"/>
          <w:szCs w:val="16"/>
        </w:rPr>
        <w:t>samt løbende dialog med myndighederne i Mykolaiv by og region.</w:t>
      </w:r>
    </w:p>
  </w:footnote>
  <w:footnote w:id="3">
    <w:p w:rsidR="009723A1" w:rsidRPr="00601E5F" w:rsidRDefault="009723A1" w:rsidP="002152DE">
      <w:pPr>
        <w:pStyle w:val="Fodnotetekst"/>
        <w:rPr>
          <w:lang w:val="en-US"/>
        </w:rPr>
      </w:pPr>
      <w:r>
        <w:rPr>
          <w:rStyle w:val="Fodnotehenvisning"/>
        </w:rPr>
        <w:footnoteRef/>
      </w:r>
      <w:r w:rsidRPr="00601E5F">
        <w:rPr>
          <w:lang w:val="en-US"/>
        </w:rPr>
        <w:t xml:space="preserve"> </w:t>
      </w:r>
      <w:r w:rsidRPr="00644D84">
        <w:rPr>
          <w:sz w:val="16"/>
          <w:szCs w:val="16"/>
          <w:lang w:val="en-US"/>
        </w:rPr>
        <w:t>Relief Web, 28. Februar 2023: “Research Terms of Reference Area-based assessment in Mykolaiv city UKR2305 Ukraine February 2023 V1”</w:t>
      </w:r>
    </w:p>
  </w:footnote>
  <w:footnote w:id="4">
    <w:p w:rsidR="009723A1" w:rsidRPr="00644D84" w:rsidRDefault="009723A1">
      <w:pPr>
        <w:pStyle w:val="Fodnotetekst"/>
        <w:rPr>
          <w:sz w:val="16"/>
          <w:szCs w:val="16"/>
        </w:rPr>
      </w:pPr>
      <w:r w:rsidRPr="00644D84">
        <w:rPr>
          <w:rStyle w:val="Fodnotehenvisning"/>
          <w:sz w:val="16"/>
          <w:szCs w:val="16"/>
        </w:rPr>
        <w:footnoteRef/>
      </w:r>
      <w:r w:rsidRPr="00644D84">
        <w:rPr>
          <w:sz w:val="16"/>
          <w:szCs w:val="16"/>
        </w:rPr>
        <w:t xml:space="preserve"> Denne indsats finansieres over Naboskabsprogrammet og dermed uden</w:t>
      </w:r>
      <w:r>
        <w:rPr>
          <w:sz w:val="16"/>
          <w:szCs w:val="16"/>
        </w:rPr>
        <w:t xml:space="preserve"> </w:t>
      </w:r>
      <w:r w:rsidRPr="00193118">
        <w:rPr>
          <w:sz w:val="16"/>
          <w:szCs w:val="16"/>
        </w:rPr>
        <w:t>for rammerne af genopbygningsbis</w:t>
      </w:r>
      <w:r w:rsidRPr="00644D84">
        <w:rPr>
          <w:sz w:val="16"/>
          <w:szCs w:val="16"/>
        </w:rPr>
        <w:t>tanden.</w:t>
      </w:r>
    </w:p>
  </w:footnote>
  <w:footnote w:id="5">
    <w:p w:rsidR="009723A1" w:rsidRDefault="009723A1">
      <w:pPr>
        <w:pStyle w:val="Fodnotetekst"/>
      </w:pPr>
      <w:r>
        <w:rPr>
          <w:rStyle w:val="Fodnotehenvisning"/>
        </w:rPr>
        <w:footnoteRef/>
      </w:r>
      <w:r>
        <w:t xml:space="preserve"> </w:t>
      </w:r>
      <w:r w:rsidRPr="00E57117">
        <w:rPr>
          <w:sz w:val="16"/>
          <w:szCs w:val="16"/>
        </w:rPr>
        <w:t>Finansieres over Naboskabsprogrammet, uden</w:t>
      </w:r>
      <w:r>
        <w:rPr>
          <w:sz w:val="16"/>
          <w:szCs w:val="16"/>
        </w:rPr>
        <w:t xml:space="preserve"> </w:t>
      </w:r>
      <w:r w:rsidRPr="00E57117">
        <w:rPr>
          <w:sz w:val="16"/>
          <w:szCs w:val="16"/>
        </w:rPr>
        <w:t>for ramme til Genopbygning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1381"/>
    <w:multiLevelType w:val="hybridMultilevel"/>
    <w:tmpl w:val="AB22DBD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DF3278"/>
    <w:multiLevelType w:val="hybridMultilevel"/>
    <w:tmpl w:val="592C5042"/>
    <w:lvl w:ilvl="0" w:tplc="578065CA">
      <w:start w:val="1"/>
      <w:numFmt w:val="decimal"/>
      <w:lvlText w:val="%1."/>
      <w:lvlJc w:val="left"/>
      <w:pPr>
        <w:ind w:left="720" w:hanging="360"/>
      </w:pPr>
      <w:rPr>
        <w:rFonts w:hint="default"/>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AC6BF7"/>
    <w:multiLevelType w:val="hybridMultilevel"/>
    <w:tmpl w:val="08E0D70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F77BC8"/>
    <w:multiLevelType w:val="hybridMultilevel"/>
    <w:tmpl w:val="CCB27744"/>
    <w:lvl w:ilvl="0" w:tplc="E5DA62C6">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0AC14532"/>
    <w:multiLevelType w:val="hybridMultilevel"/>
    <w:tmpl w:val="7E063D2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3F0627"/>
    <w:multiLevelType w:val="hybridMultilevel"/>
    <w:tmpl w:val="7B282A14"/>
    <w:lvl w:ilvl="0" w:tplc="80B668E4">
      <w:start w:val="2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2BA2E87"/>
    <w:multiLevelType w:val="hybridMultilevel"/>
    <w:tmpl w:val="403A55EA"/>
    <w:lvl w:ilvl="0" w:tplc="04060001">
      <w:start w:val="1"/>
      <w:numFmt w:val="bullet"/>
      <w:lvlText w:val=""/>
      <w:lvlJc w:val="left"/>
      <w:pPr>
        <w:ind w:left="779" w:hanging="360"/>
      </w:pPr>
      <w:rPr>
        <w:rFonts w:ascii="Symbol" w:hAnsi="Symbol" w:hint="default"/>
      </w:rPr>
    </w:lvl>
    <w:lvl w:ilvl="1" w:tplc="04060003" w:tentative="1">
      <w:start w:val="1"/>
      <w:numFmt w:val="bullet"/>
      <w:lvlText w:val="o"/>
      <w:lvlJc w:val="left"/>
      <w:pPr>
        <w:ind w:left="1499" w:hanging="360"/>
      </w:pPr>
      <w:rPr>
        <w:rFonts w:ascii="Courier New" w:hAnsi="Courier New" w:cs="Courier New" w:hint="default"/>
      </w:rPr>
    </w:lvl>
    <w:lvl w:ilvl="2" w:tplc="04060005" w:tentative="1">
      <w:start w:val="1"/>
      <w:numFmt w:val="bullet"/>
      <w:lvlText w:val=""/>
      <w:lvlJc w:val="left"/>
      <w:pPr>
        <w:ind w:left="2219" w:hanging="360"/>
      </w:pPr>
      <w:rPr>
        <w:rFonts w:ascii="Wingdings" w:hAnsi="Wingdings" w:hint="default"/>
      </w:rPr>
    </w:lvl>
    <w:lvl w:ilvl="3" w:tplc="04060001" w:tentative="1">
      <w:start w:val="1"/>
      <w:numFmt w:val="bullet"/>
      <w:lvlText w:val=""/>
      <w:lvlJc w:val="left"/>
      <w:pPr>
        <w:ind w:left="2939" w:hanging="360"/>
      </w:pPr>
      <w:rPr>
        <w:rFonts w:ascii="Symbol" w:hAnsi="Symbol" w:hint="default"/>
      </w:rPr>
    </w:lvl>
    <w:lvl w:ilvl="4" w:tplc="04060003" w:tentative="1">
      <w:start w:val="1"/>
      <w:numFmt w:val="bullet"/>
      <w:lvlText w:val="o"/>
      <w:lvlJc w:val="left"/>
      <w:pPr>
        <w:ind w:left="3659" w:hanging="360"/>
      </w:pPr>
      <w:rPr>
        <w:rFonts w:ascii="Courier New" w:hAnsi="Courier New" w:cs="Courier New" w:hint="default"/>
      </w:rPr>
    </w:lvl>
    <w:lvl w:ilvl="5" w:tplc="04060005" w:tentative="1">
      <w:start w:val="1"/>
      <w:numFmt w:val="bullet"/>
      <w:lvlText w:val=""/>
      <w:lvlJc w:val="left"/>
      <w:pPr>
        <w:ind w:left="4379" w:hanging="360"/>
      </w:pPr>
      <w:rPr>
        <w:rFonts w:ascii="Wingdings" w:hAnsi="Wingdings" w:hint="default"/>
      </w:rPr>
    </w:lvl>
    <w:lvl w:ilvl="6" w:tplc="04060001" w:tentative="1">
      <w:start w:val="1"/>
      <w:numFmt w:val="bullet"/>
      <w:lvlText w:val=""/>
      <w:lvlJc w:val="left"/>
      <w:pPr>
        <w:ind w:left="5099" w:hanging="360"/>
      </w:pPr>
      <w:rPr>
        <w:rFonts w:ascii="Symbol" w:hAnsi="Symbol" w:hint="default"/>
      </w:rPr>
    </w:lvl>
    <w:lvl w:ilvl="7" w:tplc="04060003" w:tentative="1">
      <w:start w:val="1"/>
      <w:numFmt w:val="bullet"/>
      <w:lvlText w:val="o"/>
      <w:lvlJc w:val="left"/>
      <w:pPr>
        <w:ind w:left="5819" w:hanging="360"/>
      </w:pPr>
      <w:rPr>
        <w:rFonts w:ascii="Courier New" w:hAnsi="Courier New" w:cs="Courier New" w:hint="default"/>
      </w:rPr>
    </w:lvl>
    <w:lvl w:ilvl="8" w:tplc="04060005" w:tentative="1">
      <w:start w:val="1"/>
      <w:numFmt w:val="bullet"/>
      <w:lvlText w:val=""/>
      <w:lvlJc w:val="left"/>
      <w:pPr>
        <w:ind w:left="6539" w:hanging="360"/>
      </w:pPr>
      <w:rPr>
        <w:rFonts w:ascii="Wingdings" w:hAnsi="Wingdings" w:hint="default"/>
      </w:rPr>
    </w:lvl>
  </w:abstractNum>
  <w:abstractNum w:abstractNumId="7" w15:restartNumberingAfterBreak="0">
    <w:nsid w:val="13A01AE9"/>
    <w:multiLevelType w:val="hybridMultilevel"/>
    <w:tmpl w:val="28580C34"/>
    <w:lvl w:ilvl="0" w:tplc="9D601B78">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17EC76FF"/>
    <w:multiLevelType w:val="hybridMultilevel"/>
    <w:tmpl w:val="8668D062"/>
    <w:lvl w:ilvl="0" w:tplc="4D8ECDAA">
      <w:start w:val="2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88B486A"/>
    <w:multiLevelType w:val="hybridMultilevel"/>
    <w:tmpl w:val="2B42D9A6"/>
    <w:lvl w:ilvl="0" w:tplc="12D6DE06">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96C0A0B"/>
    <w:multiLevelType w:val="multilevel"/>
    <w:tmpl w:val="04581AB8"/>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396B30"/>
    <w:multiLevelType w:val="hybridMultilevel"/>
    <w:tmpl w:val="DB7CE1EA"/>
    <w:lvl w:ilvl="0" w:tplc="0406000F">
      <w:start w:val="1"/>
      <w:numFmt w:val="decimal"/>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2250472"/>
    <w:multiLevelType w:val="hybridMultilevel"/>
    <w:tmpl w:val="6F989D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607579D"/>
    <w:multiLevelType w:val="hybridMultilevel"/>
    <w:tmpl w:val="D7D6C1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6F460A0"/>
    <w:multiLevelType w:val="hybridMultilevel"/>
    <w:tmpl w:val="485432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86B1228"/>
    <w:multiLevelType w:val="hybridMultilevel"/>
    <w:tmpl w:val="78CCAD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A56374B"/>
    <w:multiLevelType w:val="hybridMultilevel"/>
    <w:tmpl w:val="A1085F92"/>
    <w:lvl w:ilvl="0" w:tplc="F810FF58">
      <w:start w:val="1"/>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FF71EF9"/>
    <w:multiLevelType w:val="hybridMultilevel"/>
    <w:tmpl w:val="E892CEC0"/>
    <w:lvl w:ilvl="0" w:tplc="0406000F">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403909C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B3EB2"/>
    <w:multiLevelType w:val="hybridMultilevel"/>
    <w:tmpl w:val="4DF065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4012E7E"/>
    <w:multiLevelType w:val="hybridMultilevel"/>
    <w:tmpl w:val="C7ACAA7A"/>
    <w:lvl w:ilvl="0" w:tplc="04060001">
      <w:start w:val="1"/>
      <w:numFmt w:val="bullet"/>
      <w:lvlText w:val=""/>
      <w:lvlJc w:val="left"/>
      <w:pPr>
        <w:ind w:left="787" w:hanging="360"/>
      </w:pPr>
      <w:rPr>
        <w:rFonts w:ascii="Symbol" w:hAnsi="Symbol" w:hint="default"/>
      </w:rPr>
    </w:lvl>
    <w:lvl w:ilvl="1" w:tplc="04060003" w:tentative="1">
      <w:start w:val="1"/>
      <w:numFmt w:val="bullet"/>
      <w:lvlText w:val="o"/>
      <w:lvlJc w:val="left"/>
      <w:pPr>
        <w:ind w:left="1507" w:hanging="360"/>
      </w:pPr>
      <w:rPr>
        <w:rFonts w:ascii="Courier New" w:hAnsi="Courier New" w:cs="Courier New" w:hint="default"/>
      </w:rPr>
    </w:lvl>
    <w:lvl w:ilvl="2" w:tplc="04060005" w:tentative="1">
      <w:start w:val="1"/>
      <w:numFmt w:val="bullet"/>
      <w:lvlText w:val=""/>
      <w:lvlJc w:val="left"/>
      <w:pPr>
        <w:ind w:left="2227" w:hanging="360"/>
      </w:pPr>
      <w:rPr>
        <w:rFonts w:ascii="Wingdings" w:hAnsi="Wingdings" w:hint="default"/>
      </w:rPr>
    </w:lvl>
    <w:lvl w:ilvl="3" w:tplc="04060001" w:tentative="1">
      <w:start w:val="1"/>
      <w:numFmt w:val="bullet"/>
      <w:lvlText w:val=""/>
      <w:lvlJc w:val="left"/>
      <w:pPr>
        <w:ind w:left="2947" w:hanging="360"/>
      </w:pPr>
      <w:rPr>
        <w:rFonts w:ascii="Symbol" w:hAnsi="Symbol" w:hint="default"/>
      </w:rPr>
    </w:lvl>
    <w:lvl w:ilvl="4" w:tplc="04060003" w:tentative="1">
      <w:start w:val="1"/>
      <w:numFmt w:val="bullet"/>
      <w:lvlText w:val="o"/>
      <w:lvlJc w:val="left"/>
      <w:pPr>
        <w:ind w:left="3667" w:hanging="360"/>
      </w:pPr>
      <w:rPr>
        <w:rFonts w:ascii="Courier New" w:hAnsi="Courier New" w:cs="Courier New" w:hint="default"/>
      </w:rPr>
    </w:lvl>
    <w:lvl w:ilvl="5" w:tplc="04060005" w:tentative="1">
      <w:start w:val="1"/>
      <w:numFmt w:val="bullet"/>
      <w:lvlText w:val=""/>
      <w:lvlJc w:val="left"/>
      <w:pPr>
        <w:ind w:left="4387" w:hanging="360"/>
      </w:pPr>
      <w:rPr>
        <w:rFonts w:ascii="Wingdings" w:hAnsi="Wingdings" w:hint="default"/>
      </w:rPr>
    </w:lvl>
    <w:lvl w:ilvl="6" w:tplc="04060001" w:tentative="1">
      <w:start w:val="1"/>
      <w:numFmt w:val="bullet"/>
      <w:lvlText w:val=""/>
      <w:lvlJc w:val="left"/>
      <w:pPr>
        <w:ind w:left="5107" w:hanging="360"/>
      </w:pPr>
      <w:rPr>
        <w:rFonts w:ascii="Symbol" w:hAnsi="Symbol" w:hint="default"/>
      </w:rPr>
    </w:lvl>
    <w:lvl w:ilvl="7" w:tplc="04060003" w:tentative="1">
      <w:start w:val="1"/>
      <w:numFmt w:val="bullet"/>
      <w:lvlText w:val="o"/>
      <w:lvlJc w:val="left"/>
      <w:pPr>
        <w:ind w:left="5827" w:hanging="360"/>
      </w:pPr>
      <w:rPr>
        <w:rFonts w:ascii="Courier New" w:hAnsi="Courier New" w:cs="Courier New" w:hint="default"/>
      </w:rPr>
    </w:lvl>
    <w:lvl w:ilvl="8" w:tplc="04060005" w:tentative="1">
      <w:start w:val="1"/>
      <w:numFmt w:val="bullet"/>
      <w:lvlText w:val=""/>
      <w:lvlJc w:val="left"/>
      <w:pPr>
        <w:ind w:left="6547" w:hanging="360"/>
      </w:pPr>
      <w:rPr>
        <w:rFonts w:ascii="Wingdings" w:hAnsi="Wingdings" w:hint="default"/>
      </w:rPr>
    </w:lvl>
  </w:abstractNum>
  <w:abstractNum w:abstractNumId="21" w15:restartNumberingAfterBreak="0">
    <w:nsid w:val="45D012D7"/>
    <w:multiLevelType w:val="hybridMultilevel"/>
    <w:tmpl w:val="DADE26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9423A34"/>
    <w:multiLevelType w:val="hybridMultilevel"/>
    <w:tmpl w:val="3DF2F1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D167785"/>
    <w:multiLevelType w:val="hybridMultilevel"/>
    <w:tmpl w:val="F260E3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6F41573"/>
    <w:multiLevelType w:val="multilevel"/>
    <w:tmpl w:val="33964B8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57466937"/>
    <w:multiLevelType w:val="hybridMultilevel"/>
    <w:tmpl w:val="18E0CEDE"/>
    <w:lvl w:ilvl="0" w:tplc="E86627EE">
      <w:start w:val="2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A681D4A"/>
    <w:multiLevelType w:val="hybridMultilevel"/>
    <w:tmpl w:val="179042C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5D8B5FD9"/>
    <w:multiLevelType w:val="hybridMultilevel"/>
    <w:tmpl w:val="9782CDC2"/>
    <w:lvl w:ilvl="0" w:tplc="7CF8D5CC">
      <w:start w:val="22"/>
      <w:numFmt w:val="bullet"/>
      <w:lvlText w:val="-"/>
      <w:lvlJc w:val="left"/>
      <w:pPr>
        <w:ind w:left="720" w:hanging="360"/>
      </w:pPr>
      <w:rPr>
        <w:rFonts w:ascii="Verdana" w:eastAsiaTheme="minorHAnsi" w:hAnsi="Verdana"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79C08BE"/>
    <w:multiLevelType w:val="multilevel"/>
    <w:tmpl w:val="03D434C4"/>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7F614F6"/>
    <w:multiLevelType w:val="hybridMultilevel"/>
    <w:tmpl w:val="A52AEA92"/>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15:restartNumberingAfterBreak="0">
    <w:nsid w:val="689B483B"/>
    <w:multiLevelType w:val="hybridMultilevel"/>
    <w:tmpl w:val="AF5628E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B1C59CE"/>
    <w:multiLevelType w:val="hybridMultilevel"/>
    <w:tmpl w:val="F6FEEE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F124D78"/>
    <w:multiLevelType w:val="hybridMultilevel"/>
    <w:tmpl w:val="77CA0F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0D86378"/>
    <w:multiLevelType w:val="multilevel"/>
    <w:tmpl w:val="7C8EF7D8"/>
    <w:lvl w:ilvl="0">
      <w:start w:val="6"/>
      <w:numFmt w:val="bullet"/>
      <w:lvlText w:val="-"/>
      <w:lvlJc w:val="left"/>
      <w:pPr>
        <w:ind w:left="720" w:hanging="360"/>
      </w:pPr>
      <w:rPr>
        <w:rFonts w:ascii="Verdana" w:eastAsiaTheme="minorHAnsi" w:hAnsi="Verdana"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744A7CC3"/>
    <w:multiLevelType w:val="hybridMultilevel"/>
    <w:tmpl w:val="4036CD6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7751D8C"/>
    <w:multiLevelType w:val="hybridMultilevel"/>
    <w:tmpl w:val="88CEDE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E9F69A6"/>
    <w:multiLevelType w:val="hybridMultilevel"/>
    <w:tmpl w:val="C62C3A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5"/>
  </w:num>
  <w:num w:numId="4">
    <w:abstractNumId w:val="27"/>
  </w:num>
  <w:num w:numId="5">
    <w:abstractNumId w:val="8"/>
  </w:num>
  <w:num w:numId="6">
    <w:abstractNumId w:val="16"/>
  </w:num>
  <w:num w:numId="7">
    <w:abstractNumId w:val="6"/>
  </w:num>
  <w:num w:numId="8">
    <w:abstractNumId w:val="9"/>
  </w:num>
  <w:num w:numId="9">
    <w:abstractNumId w:val="24"/>
  </w:num>
  <w:num w:numId="10">
    <w:abstractNumId w:val="17"/>
  </w:num>
  <w:num w:numId="11">
    <w:abstractNumId w:val="2"/>
  </w:num>
  <w:num w:numId="12">
    <w:abstractNumId w:val="15"/>
  </w:num>
  <w:num w:numId="13">
    <w:abstractNumId w:val="14"/>
  </w:num>
  <w:num w:numId="14">
    <w:abstractNumId w:val="4"/>
  </w:num>
  <w:num w:numId="15">
    <w:abstractNumId w:val="15"/>
  </w:num>
  <w:num w:numId="16">
    <w:abstractNumId w:val="29"/>
  </w:num>
  <w:num w:numId="17">
    <w:abstractNumId w:val="30"/>
  </w:num>
  <w:num w:numId="18">
    <w:abstractNumId w:val="36"/>
  </w:num>
  <w:num w:numId="19">
    <w:abstractNumId w:val="12"/>
  </w:num>
  <w:num w:numId="20">
    <w:abstractNumId w:val="3"/>
  </w:num>
  <w:num w:numId="21">
    <w:abstractNumId w:val="19"/>
  </w:num>
  <w:num w:numId="22">
    <w:abstractNumId w:val="35"/>
  </w:num>
  <w:num w:numId="23">
    <w:abstractNumId w:val="22"/>
  </w:num>
  <w:num w:numId="24">
    <w:abstractNumId w:val="2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6"/>
  </w:num>
  <w:num w:numId="28">
    <w:abstractNumId w:val="19"/>
  </w:num>
  <w:num w:numId="29">
    <w:abstractNumId w:val="35"/>
  </w:num>
  <w:num w:numId="30">
    <w:abstractNumId w:val="6"/>
  </w:num>
  <w:num w:numId="31">
    <w:abstractNumId w:val="4"/>
  </w:num>
  <w:num w:numId="32">
    <w:abstractNumId w:val="22"/>
  </w:num>
  <w:num w:numId="33">
    <w:abstractNumId w:val="29"/>
  </w:num>
  <w:num w:numId="34">
    <w:abstractNumId w:val="31"/>
  </w:num>
  <w:num w:numId="35">
    <w:abstractNumId w:val="32"/>
  </w:num>
  <w:num w:numId="36">
    <w:abstractNumId w:val="34"/>
  </w:num>
  <w:num w:numId="37">
    <w:abstractNumId w:val="23"/>
  </w:num>
  <w:num w:numId="38">
    <w:abstractNumId w:val="18"/>
  </w:num>
  <w:num w:numId="39">
    <w:abstractNumId w:val="28"/>
  </w:num>
  <w:num w:numId="40">
    <w:abstractNumId w:val="10"/>
  </w:num>
  <w:num w:numId="41">
    <w:abstractNumId w:val="11"/>
  </w:num>
  <w:num w:numId="42">
    <w:abstractNumId w:val="13"/>
  </w:num>
  <w:num w:numId="43">
    <w:abstractNumId w:val="7"/>
  </w:num>
  <w:num w:numId="44">
    <w:abstractNumId w:val="21"/>
  </w:num>
  <w:num w:numId="45">
    <w:abstractNumId w:val="20"/>
  </w:num>
  <w:num w:numId="46">
    <w:abstractNumId w:val="0"/>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702"/>
    <w:rsid w:val="0000343F"/>
    <w:rsid w:val="00005A8E"/>
    <w:rsid w:val="0000762F"/>
    <w:rsid w:val="000076ED"/>
    <w:rsid w:val="00011E71"/>
    <w:rsid w:val="00015AEC"/>
    <w:rsid w:val="00027C1C"/>
    <w:rsid w:val="00027F65"/>
    <w:rsid w:val="000314DC"/>
    <w:rsid w:val="0003397E"/>
    <w:rsid w:val="0004031D"/>
    <w:rsid w:val="000458F4"/>
    <w:rsid w:val="00045D23"/>
    <w:rsid w:val="000467A3"/>
    <w:rsid w:val="00051541"/>
    <w:rsid w:val="000572E6"/>
    <w:rsid w:val="00057D23"/>
    <w:rsid w:val="00071446"/>
    <w:rsid w:val="000718F7"/>
    <w:rsid w:val="00075861"/>
    <w:rsid w:val="000758B5"/>
    <w:rsid w:val="00087DBE"/>
    <w:rsid w:val="00093160"/>
    <w:rsid w:val="000961D5"/>
    <w:rsid w:val="00096E8C"/>
    <w:rsid w:val="000A1C4D"/>
    <w:rsid w:val="000A2FB1"/>
    <w:rsid w:val="000B32BF"/>
    <w:rsid w:val="000C055E"/>
    <w:rsid w:val="000C0868"/>
    <w:rsid w:val="000C2236"/>
    <w:rsid w:val="000C3B36"/>
    <w:rsid w:val="000C4EA5"/>
    <w:rsid w:val="000D05FC"/>
    <w:rsid w:val="000D0CCA"/>
    <w:rsid w:val="000D13AA"/>
    <w:rsid w:val="000D197E"/>
    <w:rsid w:val="000D5CD4"/>
    <w:rsid w:val="000E3CC1"/>
    <w:rsid w:val="000E3F11"/>
    <w:rsid w:val="000E4B75"/>
    <w:rsid w:val="000E61AC"/>
    <w:rsid w:val="000F31D7"/>
    <w:rsid w:val="000F6FA8"/>
    <w:rsid w:val="000F702D"/>
    <w:rsid w:val="000F73EF"/>
    <w:rsid w:val="00101677"/>
    <w:rsid w:val="00101FBE"/>
    <w:rsid w:val="00102482"/>
    <w:rsid w:val="00102A56"/>
    <w:rsid w:val="00110A97"/>
    <w:rsid w:val="00116474"/>
    <w:rsid w:val="00123326"/>
    <w:rsid w:val="00125EE2"/>
    <w:rsid w:val="00126A48"/>
    <w:rsid w:val="00131C0A"/>
    <w:rsid w:val="001419C6"/>
    <w:rsid w:val="001469DB"/>
    <w:rsid w:val="001470CC"/>
    <w:rsid w:val="001549B1"/>
    <w:rsid w:val="00155C0E"/>
    <w:rsid w:val="00157AA6"/>
    <w:rsid w:val="00167590"/>
    <w:rsid w:val="001714E9"/>
    <w:rsid w:val="00172BB2"/>
    <w:rsid w:val="0017587C"/>
    <w:rsid w:val="00175A8C"/>
    <w:rsid w:val="00182E29"/>
    <w:rsid w:val="001852B6"/>
    <w:rsid w:val="00193118"/>
    <w:rsid w:val="001A0717"/>
    <w:rsid w:val="001A075C"/>
    <w:rsid w:val="001A173C"/>
    <w:rsid w:val="001A4E1B"/>
    <w:rsid w:val="001A6016"/>
    <w:rsid w:val="001A77ED"/>
    <w:rsid w:val="001B1063"/>
    <w:rsid w:val="001B1D22"/>
    <w:rsid w:val="001B2F3A"/>
    <w:rsid w:val="001C0886"/>
    <w:rsid w:val="001D6901"/>
    <w:rsid w:val="001D6FFE"/>
    <w:rsid w:val="001E5791"/>
    <w:rsid w:val="001F3C85"/>
    <w:rsid w:val="001F4DD7"/>
    <w:rsid w:val="001F5217"/>
    <w:rsid w:val="00206335"/>
    <w:rsid w:val="00206DED"/>
    <w:rsid w:val="00207C60"/>
    <w:rsid w:val="002152DE"/>
    <w:rsid w:val="00216387"/>
    <w:rsid w:val="0023230E"/>
    <w:rsid w:val="00233B25"/>
    <w:rsid w:val="00235A38"/>
    <w:rsid w:val="00240815"/>
    <w:rsid w:val="00243D36"/>
    <w:rsid w:val="002467AD"/>
    <w:rsid w:val="0025031B"/>
    <w:rsid w:val="002505DA"/>
    <w:rsid w:val="00252060"/>
    <w:rsid w:val="00265343"/>
    <w:rsid w:val="002671C7"/>
    <w:rsid w:val="00272313"/>
    <w:rsid w:val="00276CB3"/>
    <w:rsid w:val="00276E3C"/>
    <w:rsid w:val="002777EF"/>
    <w:rsid w:val="00286059"/>
    <w:rsid w:val="002908FC"/>
    <w:rsid w:val="00291E68"/>
    <w:rsid w:val="00292477"/>
    <w:rsid w:val="00293873"/>
    <w:rsid w:val="00294A28"/>
    <w:rsid w:val="002A0CD6"/>
    <w:rsid w:val="002A2F39"/>
    <w:rsid w:val="002A4BD9"/>
    <w:rsid w:val="002A5D66"/>
    <w:rsid w:val="002C0B01"/>
    <w:rsid w:val="002C6B56"/>
    <w:rsid w:val="002C7AFA"/>
    <w:rsid w:val="002D0E10"/>
    <w:rsid w:val="002D2602"/>
    <w:rsid w:val="002D3AAA"/>
    <w:rsid w:val="002D5305"/>
    <w:rsid w:val="002E1E46"/>
    <w:rsid w:val="002E74A0"/>
    <w:rsid w:val="002F20ED"/>
    <w:rsid w:val="002F3A63"/>
    <w:rsid w:val="002F40A3"/>
    <w:rsid w:val="002F4D2D"/>
    <w:rsid w:val="00305190"/>
    <w:rsid w:val="0030525D"/>
    <w:rsid w:val="00306694"/>
    <w:rsid w:val="00307BCB"/>
    <w:rsid w:val="003102BC"/>
    <w:rsid w:val="00312766"/>
    <w:rsid w:val="00317C9D"/>
    <w:rsid w:val="0032668F"/>
    <w:rsid w:val="00327EDD"/>
    <w:rsid w:val="00343AA1"/>
    <w:rsid w:val="003453F6"/>
    <w:rsid w:val="003469AE"/>
    <w:rsid w:val="00350417"/>
    <w:rsid w:val="003507D0"/>
    <w:rsid w:val="00352823"/>
    <w:rsid w:val="00356153"/>
    <w:rsid w:val="00361549"/>
    <w:rsid w:val="0036534D"/>
    <w:rsid w:val="00367CFE"/>
    <w:rsid w:val="00371714"/>
    <w:rsid w:val="0037789E"/>
    <w:rsid w:val="00382ADC"/>
    <w:rsid w:val="00384D44"/>
    <w:rsid w:val="00393896"/>
    <w:rsid w:val="00394053"/>
    <w:rsid w:val="003946A0"/>
    <w:rsid w:val="00395042"/>
    <w:rsid w:val="003A30D6"/>
    <w:rsid w:val="003A456A"/>
    <w:rsid w:val="003A5EA3"/>
    <w:rsid w:val="003A6830"/>
    <w:rsid w:val="003B0013"/>
    <w:rsid w:val="003B10F5"/>
    <w:rsid w:val="003B6AE4"/>
    <w:rsid w:val="003C1402"/>
    <w:rsid w:val="003C2DF7"/>
    <w:rsid w:val="003C3B41"/>
    <w:rsid w:val="003C3D61"/>
    <w:rsid w:val="003D20CF"/>
    <w:rsid w:val="003D27BA"/>
    <w:rsid w:val="003D33E6"/>
    <w:rsid w:val="003D6346"/>
    <w:rsid w:val="003D67D5"/>
    <w:rsid w:val="003D7C04"/>
    <w:rsid w:val="003E2CA5"/>
    <w:rsid w:val="003E41AD"/>
    <w:rsid w:val="003E53AE"/>
    <w:rsid w:val="003E7E61"/>
    <w:rsid w:val="003F0692"/>
    <w:rsid w:val="003F3159"/>
    <w:rsid w:val="003F3DE2"/>
    <w:rsid w:val="00404D46"/>
    <w:rsid w:val="004063C6"/>
    <w:rsid w:val="004079A3"/>
    <w:rsid w:val="004112E5"/>
    <w:rsid w:val="00412F82"/>
    <w:rsid w:val="004162AE"/>
    <w:rsid w:val="00424182"/>
    <w:rsid w:val="0043188C"/>
    <w:rsid w:val="00447DE3"/>
    <w:rsid w:val="00455B0B"/>
    <w:rsid w:val="00461B47"/>
    <w:rsid w:val="0047035C"/>
    <w:rsid w:val="0047097B"/>
    <w:rsid w:val="00477FFE"/>
    <w:rsid w:val="00481873"/>
    <w:rsid w:val="00481E83"/>
    <w:rsid w:val="0048452C"/>
    <w:rsid w:val="00486B9B"/>
    <w:rsid w:val="004904DF"/>
    <w:rsid w:val="0049407D"/>
    <w:rsid w:val="00495AD8"/>
    <w:rsid w:val="004A228B"/>
    <w:rsid w:val="004A29D6"/>
    <w:rsid w:val="004A450D"/>
    <w:rsid w:val="004A5E8E"/>
    <w:rsid w:val="004B1453"/>
    <w:rsid w:val="004B260D"/>
    <w:rsid w:val="004B39CC"/>
    <w:rsid w:val="004B4843"/>
    <w:rsid w:val="004C126F"/>
    <w:rsid w:val="004C2E8E"/>
    <w:rsid w:val="004C61DA"/>
    <w:rsid w:val="004C744A"/>
    <w:rsid w:val="004D5B44"/>
    <w:rsid w:val="004E7531"/>
    <w:rsid w:val="004F3B85"/>
    <w:rsid w:val="004F4E78"/>
    <w:rsid w:val="00504467"/>
    <w:rsid w:val="0050757D"/>
    <w:rsid w:val="00512F41"/>
    <w:rsid w:val="00521063"/>
    <w:rsid w:val="005217BA"/>
    <w:rsid w:val="0052713A"/>
    <w:rsid w:val="00527D7B"/>
    <w:rsid w:val="00533C1A"/>
    <w:rsid w:val="00534269"/>
    <w:rsid w:val="00535E3C"/>
    <w:rsid w:val="005374D9"/>
    <w:rsid w:val="00540475"/>
    <w:rsid w:val="005439CE"/>
    <w:rsid w:val="00544C8E"/>
    <w:rsid w:val="0055094A"/>
    <w:rsid w:val="00553228"/>
    <w:rsid w:val="00553302"/>
    <w:rsid w:val="005658EB"/>
    <w:rsid w:val="00566638"/>
    <w:rsid w:val="0057087E"/>
    <w:rsid w:val="00581A74"/>
    <w:rsid w:val="005821D2"/>
    <w:rsid w:val="0058375A"/>
    <w:rsid w:val="00590CCB"/>
    <w:rsid w:val="00590CF4"/>
    <w:rsid w:val="005921DB"/>
    <w:rsid w:val="00595D3C"/>
    <w:rsid w:val="005A0462"/>
    <w:rsid w:val="005A2F7F"/>
    <w:rsid w:val="005A4116"/>
    <w:rsid w:val="005A4752"/>
    <w:rsid w:val="005C432C"/>
    <w:rsid w:val="005C5881"/>
    <w:rsid w:val="005D38FE"/>
    <w:rsid w:val="005D4F78"/>
    <w:rsid w:val="005D657A"/>
    <w:rsid w:val="005D6A7A"/>
    <w:rsid w:val="005E126F"/>
    <w:rsid w:val="005E610A"/>
    <w:rsid w:val="005F14E2"/>
    <w:rsid w:val="005F33C7"/>
    <w:rsid w:val="00600032"/>
    <w:rsid w:val="0060312E"/>
    <w:rsid w:val="00603BAB"/>
    <w:rsid w:val="00607AE7"/>
    <w:rsid w:val="006120AF"/>
    <w:rsid w:val="006156DC"/>
    <w:rsid w:val="00630CC3"/>
    <w:rsid w:val="00633F63"/>
    <w:rsid w:val="00635759"/>
    <w:rsid w:val="00644D84"/>
    <w:rsid w:val="00645933"/>
    <w:rsid w:val="0064639B"/>
    <w:rsid w:val="006509FB"/>
    <w:rsid w:val="00650D4E"/>
    <w:rsid w:val="00655377"/>
    <w:rsid w:val="00660C1A"/>
    <w:rsid w:val="00660FA7"/>
    <w:rsid w:val="00667645"/>
    <w:rsid w:val="006723E3"/>
    <w:rsid w:val="0067268C"/>
    <w:rsid w:val="0067698D"/>
    <w:rsid w:val="0068791C"/>
    <w:rsid w:val="00692F86"/>
    <w:rsid w:val="00693DFE"/>
    <w:rsid w:val="006952E5"/>
    <w:rsid w:val="00697DCD"/>
    <w:rsid w:val="006A3ACA"/>
    <w:rsid w:val="006A708C"/>
    <w:rsid w:val="006A7D77"/>
    <w:rsid w:val="006B0A56"/>
    <w:rsid w:val="006B0D26"/>
    <w:rsid w:val="006B1AA7"/>
    <w:rsid w:val="006B1E45"/>
    <w:rsid w:val="006C33C9"/>
    <w:rsid w:val="006C5ABE"/>
    <w:rsid w:val="006D08C5"/>
    <w:rsid w:val="006D0FE5"/>
    <w:rsid w:val="006D4EED"/>
    <w:rsid w:val="006D600B"/>
    <w:rsid w:val="006E720C"/>
    <w:rsid w:val="006F078F"/>
    <w:rsid w:val="007000C0"/>
    <w:rsid w:val="00700FE6"/>
    <w:rsid w:val="007076CF"/>
    <w:rsid w:val="00707B21"/>
    <w:rsid w:val="0071093C"/>
    <w:rsid w:val="00711F81"/>
    <w:rsid w:val="0071451B"/>
    <w:rsid w:val="00715209"/>
    <w:rsid w:val="0072211F"/>
    <w:rsid w:val="00722A7A"/>
    <w:rsid w:val="00724EA3"/>
    <w:rsid w:val="00731184"/>
    <w:rsid w:val="00732023"/>
    <w:rsid w:val="00732A27"/>
    <w:rsid w:val="00735E31"/>
    <w:rsid w:val="00736B06"/>
    <w:rsid w:val="007408C2"/>
    <w:rsid w:val="00743081"/>
    <w:rsid w:val="007435C8"/>
    <w:rsid w:val="00743B03"/>
    <w:rsid w:val="00743D17"/>
    <w:rsid w:val="00744406"/>
    <w:rsid w:val="00745C42"/>
    <w:rsid w:val="0074695D"/>
    <w:rsid w:val="00747DC3"/>
    <w:rsid w:val="00755433"/>
    <w:rsid w:val="00755A88"/>
    <w:rsid w:val="007629E6"/>
    <w:rsid w:val="00767B56"/>
    <w:rsid w:val="00783531"/>
    <w:rsid w:val="0078609A"/>
    <w:rsid w:val="0079034B"/>
    <w:rsid w:val="00795AE9"/>
    <w:rsid w:val="007A03E8"/>
    <w:rsid w:val="007A1BB0"/>
    <w:rsid w:val="007A43D8"/>
    <w:rsid w:val="007A78E3"/>
    <w:rsid w:val="007B045D"/>
    <w:rsid w:val="007B2018"/>
    <w:rsid w:val="007B6556"/>
    <w:rsid w:val="007B7ADC"/>
    <w:rsid w:val="007C0427"/>
    <w:rsid w:val="007C10EA"/>
    <w:rsid w:val="007C3261"/>
    <w:rsid w:val="007D0E5B"/>
    <w:rsid w:val="007D1F19"/>
    <w:rsid w:val="007D2987"/>
    <w:rsid w:val="007D476F"/>
    <w:rsid w:val="007F0D77"/>
    <w:rsid w:val="007F66C0"/>
    <w:rsid w:val="007F69ED"/>
    <w:rsid w:val="007F75A1"/>
    <w:rsid w:val="008037D1"/>
    <w:rsid w:val="00805CDD"/>
    <w:rsid w:val="00806464"/>
    <w:rsid w:val="00810346"/>
    <w:rsid w:val="00830463"/>
    <w:rsid w:val="008329A1"/>
    <w:rsid w:val="00833084"/>
    <w:rsid w:val="00834CF0"/>
    <w:rsid w:val="008364FA"/>
    <w:rsid w:val="00850D97"/>
    <w:rsid w:val="0085642F"/>
    <w:rsid w:val="00856961"/>
    <w:rsid w:val="0086191A"/>
    <w:rsid w:val="00861D57"/>
    <w:rsid w:val="00864DAF"/>
    <w:rsid w:val="00873583"/>
    <w:rsid w:val="008739DD"/>
    <w:rsid w:val="00874BCF"/>
    <w:rsid w:val="00881988"/>
    <w:rsid w:val="0088305F"/>
    <w:rsid w:val="00885B06"/>
    <w:rsid w:val="00895BEC"/>
    <w:rsid w:val="00896616"/>
    <w:rsid w:val="008A535F"/>
    <w:rsid w:val="008A7B41"/>
    <w:rsid w:val="008B0482"/>
    <w:rsid w:val="008B0E27"/>
    <w:rsid w:val="008B2D6F"/>
    <w:rsid w:val="008B3F03"/>
    <w:rsid w:val="008B40FE"/>
    <w:rsid w:val="008B4835"/>
    <w:rsid w:val="008B5EFF"/>
    <w:rsid w:val="008B62B2"/>
    <w:rsid w:val="008B7AEA"/>
    <w:rsid w:val="008C0FF6"/>
    <w:rsid w:val="008C5D54"/>
    <w:rsid w:val="008D2696"/>
    <w:rsid w:val="008D6E42"/>
    <w:rsid w:val="008D6F06"/>
    <w:rsid w:val="008E025F"/>
    <w:rsid w:val="008E20E6"/>
    <w:rsid w:val="008E4E0B"/>
    <w:rsid w:val="008E6DB4"/>
    <w:rsid w:val="008F0384"/>
    <w:rsid w:val="008F3A84"/>
    <w:rsid w:val="008F7CBA"/>
    <w:rsid w:val="00900AC5"/>
    <w:rsid w:val="0090164B"/>
    <w:rsid w:val="00901D29"/>
    <w:rsid w:val="00913CFF"/>
    <w:rsid w:val="00920D81"/>
    <w:rsid w:val="00921CEC"/>
    <w:rsid w:val="00925317"/>
    <w:rsid w:val="00925CB6"/>
    <w:rsid w:val="00932356"/>
    <w:rsid w:val="009330BE"/>
    <w:rsid w:val="00935CBC"/>
    <w:rsid w:val="00937717"/>
    <w:rsid w:val="009412C8"/>
    <w:rsid w:val="009458D6"/>
    <w:rsid w:val="00945B51"/>
    <w:rsid w:val="00946259"/>
    <w:rsid w:val="00947A18"/>
    <w:rsid w:val="0095071C"/>
    <w:rsid w:val="00955575"/>
    <w:rsid w:val="00960E31"/>
    <w:rsid w:val="00961F7F"/>
    <w:rsid w:val="00970938"/>
    <w:rsid w:val="009723A1"/>
    <w:rsid w:val="00976F2C"/>
    <w:rsid w:val="00987E2F"/>
    <w:rsid w:val="00994702"/>
    <w:rsid w:val="00997EE0"/>
    <w:rsid w:val="009A0EFB"/>
    <w:rsid w:val="009B228B"/>
    <w:rsid w:val="009B6D01"/>
    <w:rsid w:val="009C03A8"/>
    <w:rsid w:val="009C6A7F"/>
    <w:rsid w:val="009D3900"/>
    <w:rsid w:val="009D737E"/>
    <w:rsid w:val="009E1A10"/>
    <w:rsid w:val="009E41EE"/>
    <w:rsid w:val="009E6444"/>
    <w:rsid w:val="009E79E4"/>
    <w:rsid w:val="009E7CAD"/>
    <w:rsid w:val="009F0FBF"/>
    <w:rsid w:val="00A00406"/>
    <w:rsid w:val="00A01AEC"/>
    <w:rsid w:val="00A04ACA"/>
    <w:rsid w:val="00A06859"/>
    <w:rsid w:val="00A0700F"/>
    <w:rsid w:val="00A10ECA"/>
    <w:rsid w:val="00A121FB"/>
    <w:rsid w:val="00A17352"/>
    <w:rsid w:val="00A225CD"/>
    <w:rsid w:val="00A22D42"/>
    <w:rsid w:val="00A2461F"/>
    <w:rsid w:val="00A25DDC"/>
    <w:rsid w:val="00A340A9"/>
    <w:rsid w:val="00A46C6C"/>
    <w:rsid w:val="00A47759"/>
    <w:rsid w:val="00A50E4F"/>
    <w:rsid w:val="00A56EFF"/>
    <w:rsid w:val="00A60DE9"/>
    <w:rsid w:val="00A63FEF"/>
    <w:rsid w:val="00A72018"/>
    <w:rsid w:val="00A725F3"/>
    <w:rsid w:val="00A759A2"/>
    <w:rsid w:val="00A7649F"/>
    <w:rsid w:val="00A840A1"/>
    <w:rsid w:val="00A859D0"/>
    <w:rsid w:val="00A916E4"/>
    <w:rsid w:val="00A97FB2"/>
    <w:rsid w:val="00AA0807"/>
    <w:rsid w:val="00AA3E09"/>
    <w:rsid w:val="00AA6C32"/>
    <w:rsid w:val="00AC2A0D"/>
    <w:rsid w:val="00AC505D"/>
    <w:rsid w:val="00AC5D9B"/>
    <w:rsid w:val="00AC79F8"/>
    <w:rsid w:val="00AD0507"/>
    <w:rsid w:val="00AD29CC"/>
    <w:rsid w:val="00AD521A"/>
    <w:rsid w:val="00AD6726"/>
    <w:rsid w:val="00AE160F"/>
    <w:rsid w:val="00AE1D10"/>
    <w:rsid w:val="00AE3EFE"/>
    <w:rsid w:val="00AE47C0"/>
    <w:rsid w:val="00AE569B"/>
    <w:rsid w:val="00AF7C56"/>
    <w:rsid w:val="00B02927"/>
    <w:rsid w:val="00B06949"/>
    <w:rsid w:val="00B1256E"/>
    <w:rsid w:val="00B1605D"/>
    <w:rsid w:val="00B32EBD"/>
    <w:rsid w:val="00B33ACB"/>
    <w:rsid w:val="00B36344"/>
    <w:rsid w:val="00B427AD"/>
    <w:rsid w:val="00B44E6C"/>
    <w:rsid w:val="00B45240"/>
    <w:rsid w:val="00B4565F"/>
    <w:rsid w:val="00B50101"/>
    <w:rsid w:val="00B51062"/>
    <w:rsid w:val="00B550BC"/>
    <w:rsid w:val="00B565B9"/>
    <w:rsid w:val="00B56633"/>
    <w:rsid w:val="00B6233D"/>
    <w:rsid w:val="00B64E7D"/>
    <w:rsid w:val="00B67074"/>
    <w:rsid w:val="00B72FFD"/>
    <w:rsid w:val="00B731C7"/>
    <w:rsid w:val="00B757AC"/>
    <w:rsid w:val="00B76BF1"/>
    <w:rsid w:val="00B7766A"/>
    <w:rsid w:val="00B81EC0"/>
    <w:rsid w:val="00B838F8"/>
    <w:rsid w:val="00B87253"/>
    <w:rsid w:val="00B917E3"/>
    <w:rsid w:val="00B935FC"/>
    <w:rsid w:val="00B97076"/>
    <w:rsid w:val="00BA0392"/>
    <w:rsid w:val="00BA1785"/>
    <w:rsid w:val="00BA7A89"/>
    <w:rsid w:val="00BB0880"/>
    <w:rsid w:val="00BC223C"/>
    <w:rsid w:val="00BD4435"/>
    <w:rsid w:val="00BE73A9"/>
    <w:rsid w:val="00BE789F"/>
    <w:rsid w:val="00BF09DB"/>
    <w:rsid w:val="00BF7EC9"/>
    <w:rsid w:val="00C03962"/>
    <w:rsid w:val="00C04246"/>
    <w:rsid w:val="00C13F03"/>
    <w:rsid w:val="00C21FD9"/>
    <w:rsid w:val="00C25D97"/>
    <w:rsid w:val="00C26707"/>
    <w:rsid w:val="00C30234"/>
    <w:rsid w:val="00C340A0"/>
    <w:rsid w:val="00C35587"/>
    <w:rsid w:val="00C37C74"/>
    <w:rsid w:val="00C50421"/>
    <w:rsid w:val="00C50693"/>
    <w:rsid w:val="00C5186A"/>
    <w:rsid w:val="00C60D85"/>
    <w:rsid w:val="00C648B4"/>
    <w:rsid w:val="00C65161"/>
    <w:rsid w:val="00C665C7"/>
    <w:rsid w:val="00C677A2"/>
    <w:rsid w:val="00C73885"/>
    <w:rsid w:val="00C73E61"/>
    <w:rsid w:val="00C74C07"/>
    <w:rsid w:val="00C85CD9"/>
    <w:rsid w:val="00C900BB"/>
    <w:rsid w:val="00C91F53"/>
    <w:rsid w:val="00C94EFF"/>
    <w:rsid w:val="00CA32F7"/>
    <w:rsid w:val="00CA416D"/>
    <w:rsid w:val="00CA5D52"/>
    <w:rsid w:val="00CB3733"/>
    <w:rsid w:val="00CB687D"/>
    <w:rsid w:val="00CB77DA"/>
    <w:rsid w:val="00CB7C51"/>
    <w:rsid w:val="00CC1E26"/>
    <w:rsid w:val="00CC2A77"/>
    <w:rsid w:val="00CD1663"/>
    <w:rsid w:val="00CD30DC"/>
    <w:rsid w:val="00CD3E4A"/>
    <w:rsid w:val="00CD45CD"/>
    <w:rsid w:val="00CD4997"/>
    <w:rsid w:val="00CD6DE7"/>
    <w:rsid w:val="00CE1D4F"/>
    <w:rsid w:val="00CE5195"/>
    <w:rsid w:val="00CE75AE"/>
    <w:rsid w:val="00CF0CD4"/>
    <w:rsid w:val="00CF57D7"/>
    <w:rsid w:val="00CF6D4F"/>
    <w:rsid w:val="00D00D26"/>
    <w:rsid w:val="00D06289"/>
    <w:rsid w:val="00D113E3"/>
    <w:rsid w:val="00D1581E"/>
    <w:rsid w:val="00D179C8"/>
    <w:rsid w:val="00D31126"/>
    <w:rsid w:val="00D31595"/>
    <w:rsid w:val="00D3299A"/>
    <w:rsid w:val="00D3509A"/>
    <w:rsid w:val="00D358A2"/>
    <w:rsid w:val="00D43D86"/>
    <w:rsid w:val="00D50BDA"/>
    <w:rsid w:val="00D51DCE"/>
    <w:rsid w:val="00D52152"/>
    <w:rsid w:val="00D64A06"/>
    <w:rsid w:val="00D64F33"/>
    <w:rsid w:val="00D730D3"/>
    <w:rsid w:val="00D73865"/>
    <w:rsid w:val="00D76460"/>
    <w:rsid w:val="00D84D89"/>
    <w:rsid w:val="00D8638B"/>
    <w:rsid w:val="00D9007F"/>
    <w:rsid w:val="00D9077B"/>
    <w:rsid w:val="00DA1FDA"/>
    <w:rsid w:val="00DA6634"/>
    <w:rsid w:val="00DB23F3"/>
    <w:rsid w:val="00DB4DEC"/>
    <w:rsid w:val="00DB6BFA"/>
    <w:rsid w:val="00DB7193"/>
    <w:rsid w:val="00DC0AF6"/>
    <w:rsid w:val="00DC1802"/>
    <w:rsid w:val="00DC4F63"/>
    <w:rsid w:val="00DC5349"/>
    <w:rsid w:val="00DD0C12"/>
    <w:rsid w:val="00DD6B19"/>
    <w:rsid w:val="00DE06A4"/>
    <w:rsid w:val="00DE6920"/>
    <w:rsid w:val="00DF4B97"/>
    <w:rsid w:val="00DF544E"/>
    <w:rsid w:val="00E0092D"/>
    <w:rsid w:val="00E00A08"/>
    <w:rsid w:val="00E026E4"/>
    <w:rsid w:val="00E044D8"/>
    <w:rsid w:val="00E0713F"/>
    <w:rsid w:val="00E10B0C"/>
    <w:rsid w:val="00E12AEF"/>
    <w:rsid w:val="00E15A6B"/>
    <w:rsid w:val="00E20C09"/>
    <w:rsid w:val="00E24412"/>
    <w:rsid w:val="00E25E10"/>
    <w:rsid w:val="00E267F9"/>
    <w:rsid w:val="00E32DDC"/>
    <w:rsid w:val="00E4373A"/>
    <w:rsid w:val="00E45B86"/>
    <w:rsid w:val="00E51233"/>
    <w:rsid w:val="00E539C0"/>
    <w:rsid w:val="00E57117"/>
    <w:rsid w:val="00E575F0"/>
    <w:rsid w:val="00E607B4"/>
    <w:rsid w:val="00E659B8"/>
    <w:rsid w:val="00E67FFE"/>
    <w:rsid w:val="00E74890"/>
    <w:rsid w:val="00E81F12"/>
    <w:rsid w:val="00E84011"/>
    <w:rsid w:val="00E85DCB"/>
    <w:rsid w:val="00E865AC"/>
    <w:rsid w:val="00E86BC1"/>
    <w:rsid w:val="00E87216"/>
    <w:rsid w:val="00E872EF"/>
    <w:rsid w:val="00E94C4F"/>
    <w:rsid w:val="00E959C4"/>
    <w:rsid w:val="00E97115"/>
    <w:rsid w:val="00EA3A62"/>
    <w:rsid w:val="00EA7E4C"/>
    <w:rsid w:val="00EB1DAA"/>
    <w:rsid w:val="00EB540A"/>
    <w:rsid w:val="00EC4DAD"/>
    <w:rsid w:val="00ED1FD2"/>
    <w:rsid w:val="00ED3445"/>
    <w:rsid w:val="00ED4C98"/>
    <w:rsid w:val="00EE0F84"/>
    <w:rsid w:val="00EE3A98"/>
    <w:rsid w:val="00EE5EE3"/>
    <w:rsid w:val="00EE70CA"/>
    <w:rsid w:val="00EE77D7"/>
    <w:rsid w:val="00EF1DF8"/>
    <w:rsid w:val="00EF7644"/>
    <w:rsid w:val="00F01670"/>
    <w:rsid w:val="00F03DEC"/>
    <w:rsid w:val="00F0502A"/>
    <w:rsid w:val="00F07683"/>
    <w:rsid w:val="00F11E5F"/>
    <w:rsid w:val="00F1258C"/>
    <w:rsid w:val="00F276AE"/>
    <w:rsid w:val="00F3242F"/>
    <w:rsid w:val="00F418E7"/>
    <w:rsid w:val="00F4668C"/>
    <w:rsid w:val="00F50350"/>
    <w:rsid w:val="00F508C7"/>
    <w:rsid w:val="00F5445D"/>
    <w:rsid w:val="00F57002"/>
    <w:rsid w:val="00F601B2"/>
    <w:rsid w:val="00F626A8"/>
    <w:rsid w:val="00F658AD"/>
    <w:rsid w:val="00F72F11"/>
    <w:rsid w:val="00F84C53"/>
    <w:rsid w:val="00F8733B"/>
    <w:rsid w:val="00F9360F"/>
    <w:rsid w:val="00F94A56"/>
    <w:rsid w:val="00F95B2E"/>
    <w:rsid w:val="00FA6901"/>
    <w:rsid w:val="00FB5AD9"/>
    <w:rsid w:val="00FC26B0"/>
    <w:rsid w:val="00FC4885"/>
    <w:rsid w:val="00FC5EFB"/>
    <w:rsid w:val="00FC78B9"/>
    <w:rsid w:val="00FD0662"/>
    <w:rsid w:val="00FD1558"/>
    <w:rsid w:val="00FD25BA"/>
    <w:rsid w:val="00FD4B4F"/>
    <w:rsid w:val="00FD7A0E"/>
    <w:rsid w:val="00FF438A"/>
    <w:rsid w:val="00FF70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2DA6090-F95B-4B8D-869C-A30194D6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317C9D"/>
    <w:pPr>
      <w:keepNext/>
      <w:keepLines/>
      <w:spacing w:before="240" w:after="0"/>
      <w:outlineLvl w:val="0"/>
    </w:pPr>
    <w:rPr>
      <w:rFonts w:eastAsiaTheme="majorEastAsia" w:cstheme="majorBidi"/>
      <w:b/>
      <w:color w:val="000000" w:themeColor="text1"/>
      <w:sz w:val="24"/>
      <w:szCs w:val="32"/>
    </w:rPr>
  </w:style>
  <w:style w:type="paragraph" w:styleId="Overskrift2">
    <w:name w:val="heading 2"/>
    <w:basedOn w:val="Normal"/>
    <w:next w:val="Normal"/>
    <w:link w:val="Overskrift2Tegn"/>
    <w:uiPriority w:val="9"/>
    <w:unhideWhenUsed/>
    <w:qFormat/>
    <w:rsid w:val="00633F63"/>
    <w:pPr>
      <w:keepNext/>
      <w:keepLines/>
      <w:spacing w:before="40" w:after="0"/>
      <w:outlineLvl w:val="1"/>
    </w:pPr>
    <w:rPr>
      <w:rFonts w:eastAsiaTheme="majorEastAsia" w:cstheme="majorBidi"/>
      <w:color w:val="000000" w:themeColor="text1"/>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994702"/>
    <w:pPr>
      <w:spacing w:after="0" w:line="240" w:lineRule="auto"/>
    </w:pPr>
    <w:rPr>
      <w:rFonts w:asciiTheme="minorHAnsi" w:eastAsiaTheme="minorEastAsia" w:hAnsiTheme="minorHAnsi"/>
      <w:sz w:val="22"/>
      <w:szCs w:val="22"/>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725F3"/>
    <w:pPr>
      <w:ind w:left="720"/>
      <w:contextualSpacing/>
    </w:pPr>
  </w:style>
  <w:style w:type="paragraph" w:styleId="Markeringsbobletekst">
    <w:name w:val="Balloon Text"/>
    <w:basedOn w:val="Normal"/>
    <w:link w:val="MarkeringsbobletekstTegn"/>
    <w:uiPriority w:val="99"/>
    <w:semiHidden/>
    <w:unhideWhenUsed/>
    <w:rsid w:val="00A725F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725F3"/>
    <w:rPr>
      <w:rFonts w:ascii="Segoe UI" w:hAnsi="Segoe UI" w:cs="Segoe UI"/>
      <w:sz w:val="18"/>
      <w:szCs w:val="18"/>
    </w:rPr>
  </w:style>
  <w:style w:type="character" w:styleId="Kommentarhenvisning">
    <w:name w:val="annotation reference"/>
    <w:basedOn w:val="Standardskrifttypeiafsnit"/>
    <w:uiPriority w:val="99"/>
    <w:semiHidden/>
    <w:unhideWhenUsed/>
    <w:rsid w:val="00B550BC"/>
    <w:rPr>
      <w:sz w:val="16"/>
      <w:szCs w:val="16"/>
    </w:rPr>
  </w:style>
  <w:style w:type="paragraph" w:styleId="Kommentartekst">
    <w:name w:val="annotation text"/>
    <w:basedOn w:val="Normal"/>
    <w:link w:val="KommentartekstTegn"/>
    <w:uiPriority w:val="99"/>
    <w:unhideWhenUsed/>
    <w:rsid w:val="00B550BC"/>
    <w:pPr>
      <w:spacing w:line="240" w:lineRule="auto"/>
    </w:pPr>
  </w:style>
  <w:style w:type="character" w:customStyle="1" w:styleId="KommentartekstTegn">
    <w:name w:val="Kommentartekst Tegn"/>
    <w:basedOn w:val="Standardskrifttypeiafsnit"/>
    <w:link w:val="Kommentartekst"/>
    <w:uiPriority w:val="99"/>
    <w:rsid w:val="00B550BC"/>
  </w:style>
  <w:style w:type="paragraph" w:styleId="Kommentaremne">
    <w:name w:val="annotation subject"/>
    <w:basedOn w:val="Kommentartekst"/>
    <w:next w:val="Kommentartekst"/>
    <w:link w:val="KommentaremneTegn"/>
    <w:uiPriority w:val="99"/>
    <w:semiHidden/>
    <w:unhideWhenUsed/>
    <w:rsid w:val="00B550BC"/>
    <w:rPr>
      <w:b/>
      <w:bCs/>
    </w:rPr>
  </w:style>
  <w:style w:type="character" w:customStyle="1" w:styleId="KommentaremneTegn">
    <w:name w:val="Kommentaremne Tegn"/>
    <w:basedOn w:val="KommentartekstTegn"/>
    <w:link w:val="Kommentaremne"/>
    <w:uiPriority w:val="99"/>
    <w:semiHidden/>
    <w:rsid w:val="00B550BC"/>
    <w:rPr>
      <w:b/>
      <w:bCs/>
    </w:rPr>
  </w:style>
  <w:style w:type="character" w:customStyle="1" w:styleId="Overskrift1Tegn">
    <w:name w:val="Overskrift 1 Tegn"/>
    <w:basedOn w:val="Standardskrifttypeiafsnit"/>
    <w:link w:val="Overskrift1"/>
    <w:uiPriority w:val="9"/>
    <w:rsid w:val="00317C9D"/>
    <w:rPr>
      <w:rFonts w:eastAsiaTheme="majorEastAsia" w:cstheme="majorBidi"/>
      <w:b/>
      <w:color w:val="000000" w:themeColor="text1"/>
      <w:sz w:val="24"/>
      <w:szCs w:val="32"/>
    </w:rPr>
  </w:style>
  <w:style w:type="character" w:customStyle="1" w:styleId="Overskrift2Tegn">
    <w:name w:val="Overskrift 2 Tegn"/>
    <w:basedOn w:val="Standardskrifttypeiafsnit"/>
    <w:link w:val="Overskrift2"/>
    <w:uiPriority w:val="9"/>
    <w:rsid w:val="00633F63"/>
    <w:rPr>
      <w:rFonts w:eastAsiaTheme="majorEastAsia" w:cstheme="majorBidi"/>
      <w:color w:val="000000" w:themeColor="text1"/>
      <w:szCs w:val="26"/>
      <w:u w:val="single"/>
    </w:rPr>
  </w:style>
  <w:style w:type="character" w:styleId="Hyperlink">
    <w:name w:val="Hyperlink"/>
    <w:basedOn w:val="Standardskrifttypeiafsnit"/>
    <w:uiPriority w:val="99"/>
    <w:unhideWhenUsed/>
    <w:rsid w:val="006120AF"/>
    <w:rPr>
      <w:color w:val="0000FF"/>
      <w:u w:val="single"/>
    </w:rPr>
  </w:style>
  <w:style w:type="paragraph" w:styleId="NormalWeb">
    <w:name w:val="Normal (Web)"/>
    <w:basedOn w:val="Normal"/>
    <w:uiPriority w:val="99"/>
    <w:unhideWhenUsed/>
    <w:rsid w:val="0007144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071446"/>
    <w:rPr>
      <w:b/>
      <w:bCs/>
    </w:rPr>
  </w:style>
  <w:style w:type="character" w:styleId="BesgtLink">
    <w:name w:val="FollowedHyperlink"/>
    <w:basedOn w:val="Standardskrifttypeiafsnit"/>
    <w:uiPriority w:val="99"/>
    <w:semiHidden/>
    <w:unhideWhenUsed/>
    <w:rsid w:val="001419C6"/>
    <w:rPr>
      <w:color w:val="800080" w:themeColor="followedHyperlink"/>
      <w:u w:val="single"/>
    </w:rPr>
  </w:style>
  <w:style w:type="paragraph" w:styleId="Fodnotetekst">
    <w:name w:val="footnote text"/>
    <w:basedOn w:val="Normal"/>
    <w:link w:val="FodnotetekstTegn"/>
    <w:uiPriority w:val="99"/>
    <w:semiHidden/>
    <w:unhideWhenUsed/>
    <w:rsid w:val="000F73EF"/>
    <w:pPr>
      <w:spacing w:after="0" w:line="240" w:lineRule="auto"/>
    </w:pPr>
  </w:style>
  <w:style w:type="character" w:customStyle="1" w:styleId="FodnotetekstTegn">
    <w:name w:val="Fodnotetekst Tegn"/>
    <w:basedOn w:val="Standardskrifttypeiafsnit"/>
    <w:link w:val="Fodnotetekst"/>
    <w:uiPriority w:val="99"/>
    <w:semiHidden/>
    <w:rsid w:val="000F73EF"/>
  </w:style>
  <w:style w:type="character" w:styleId="Fodnotehenvisning">
    <w:name w:val="footnote reference"/>
    <w:basedOn w:val="Standardskrifttypeiafsnit"/>
    <w:uiPriority w:val="99"/>
    <w:semiHidden/>
    <w:unhideWhenUsed/>
    <w:rsid w:val="000F73EF"/>
    <w:rPr>
      <w:vertAlign w:val="superscript"/>
    </w:rPr>
  </w:style>
  <w:style w:type="paragraph" w:styleId="Sidehoved">
    <w:name w:val="header"/>
    <w:basedOn w:val="Normal"/>
    <w:link w:val="SidehovedTegn"/>
    <w:uiPriority w:val="99"/>
    <w:unhideWhenUsed/>
    <w:rsid w:val="00C5186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5186A"/>
  </w:style>
  <w:style w:type="paragraph" w:styleId="Sidefod">
    <w:name w:val="footer"/>
    <w:basedOn w:val="Normal"/>
    <w:link w:val="SidefodTegn"/>
    <w:uiPriority w:val="99"/>
    <w:unhideWhenUsed/>
    <w:rsid w:val="00C5186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5186A"/>
  </w:style>
  <w:style w:type="paragraph" w:styleId="Korrektur">
    <w:name w:val="Revision"/>
    <w:hidden/>
    <w:uiPriority w:val="99"/>
    <w:semiHidden/>
    <w:rsid w:val="00535E3C"/>
    <w:pPr>
      <w:spacing w:after="0" w:line="240" w:lineRule="auto"/>
    </w:pPr>
  </w:style>
  <w:style w:type="paragraph" w:styleId="FormateretHTML">
    <w:name w:val="HTML Preformatted"/>
    <w:basedOn w:val="Normal"/>
    <w:link w:val="FormateretHTMLTegn"/>
    <w:uiPriority w:val="99"/>
    <w:semiHidden/>
    <w:unhideWhenUsed/>
    <w:rsid w:val="00CC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da-DK"/>
    </w:rPr>
  </w:style>
  <w:style w:type="character" w:customStyle="1" w:styleId="FormateretHTMLTegn">
    <w:name w:val="Formateret HTML Tegn"/>
    <w:basedOn w:val="Standardskrifttypeiafsnit"/>
    <w:link w:val="FormateretHTML"/>
    <w:uiPriority w:val="99"/>
    <w:semiHidden/>
    <w:rsid w:val="00CC1E26"/>
    <w:rPr>
      <w:rFonts w:ascii="Courier New" w:eastAsia="Times New Roman" w:hAnsi="Courier New" w:cs="Courier New"/>
      <w:lang w:eastAsia="da-DK"/>
    </w:rPr>
  </w:style>
  <w:style w:type="character" w:customStyle="1" w:styleId="y2iqfc">
    <w:name w:val="y2iqfc"/>
    <w:basedOn w:val="Standardskrifttypeiafsnit"/>
    <w:rsid w:val="00CC1E26"/>
  </w:style>
  <w:style w:type="paragraph" w:styleId="Overskrift">
    <w:name w:val="TOC Heading"/>
    <w:basedOn w:val="Overskrift1"/>
    <w:next w:val="Normal"/>
    <w:uiPriority w:val="39"/>
    <w:unhideWhenUsed/>
    <w:qFormat/>
    <w:rsid w:val="005D657A"/>
    <w:pPr>
      <w:spacing w:line="259" w:lineRule="auto"/>
      <w:outlineLvl w:val="9"/>
    </w:pPr>
    <w:rPr>
      <w:rFonts w:asciiTheme="majorHAnsi" w:hAnsiTheme="majorHAnsi"/>
      <w:b w:val="0"/>
      <w:color w:val="365F91" w:themeColor="accent1" w:themeShade="BF"/>
      <w:sz w:val="32"/>
      <w:lang w:eastAsia="da-DK"/>
    </w:rPr>
  </w:style>
  <w:style w:type="paragraph" w:styleId="Indholdsfortegnelse1">
    <w:name w:val="toc 1"/>
    <w:basedOn w:val="Normal"/>
    <w:next w:val="Normal"/>
    <w:autoRedefine/>
    <w:uiPriority w:val="39"/>
    <w:unhideWhenUsed/>
    <w:rsid w:val="005D657A"/>
    <w:pPr>
      <w:spacing w:after="100"/>
    </w:pPr>
  </w:style>
  <w:style w:type="paragraph" w:styleId="Indholdsfortegnelse2">
    <w:name w:val="toc 2"/>
    <w:basedOn w:val="Normal"/>
    <w:next w:val="Normal"/>
    <w:autoRedefine/>
    <w:uiPriority w:val="39"/>
    <w:unhideWhenUsed/>
    <w:rsid w:val="005D657A"/>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7867">
      <w:bodyDiv w:val="1"/>
      <w:marLeft w:val="0"/>
      <w:marRight w:val="0"/>
      <w:marTop w:val="0"/>
      <w:marBottom w:val="0"/>
      <w:divBdr>
        <w:top w:val="none" w:sz="0" w:space="0" w:color="auto"/>
        <w:left w:val="none" w:sz="0" w:space="0" w:color="auto"/>
        <w:bottom w:val="none" w:sz="0" w:space="0" w:color="auto"/>
        <w:right w:val="none" w:sz="0" w:space="0" w:color="auto"/>
      </w:divBdr>
    </w:div>
    <w:div w:id="169105447">
      <w:bodyDiv w:val="1"/>
      <w:marLeft w:val="0"/>
      <w:marRight w:val="0"/>
      <w:marTop w:val="0"/>
      <w:marBottom w:val="0"/>
      <w:divBdr>
        <w:top w:val="none" w:sz="0" w:space="0" w:color="auto"/>
        <w:left w:val="none" w:sz="0" w:space="0" w:color="auto"/>
        <w:bottom w:val="none" w:sz="0" w:space="0" w:color="auto"/>
        <w:right w:val="none" w:sz="0" w:space="0" w:color="auto"/>
      </w:divBdr>
    </w:div>
    <w:div w:id="230509720">
      <w:bodyDiv w:val="1"/>
      <w:marLeft w:val="0"/>
      <w:marRight w:val="0"/>
      <w:marTop w:val="0"/>
      <w:marBottom w:val="0"/>
      <w:divBdr>
        <w:top w:val="none" w:sz="0" w:space="0" w:color="auto"/>
        <w:left w:val="none" w:sz="0" w:space="0" w:color="auto"/>
        <w:bottom w:val="none" w:sz="0" w:space="0" w:color="auto"/>
        <w:right w:val="none" w:sz="0" w:space="0" w:color="auto"/>
      </w:divBdr>
    </w:div>
    <w:div w:id="256404054">
      <w:bodyDiv w:val="1"/>
      <w:marLeft w:val="0"/>
      <w:marRight w:val="0"/>
      <w:marTop w:val="0"/>
      <w:marBottom w:val="0"/>
      <w:divBdr>
        <w:top w:val="none" w:sz="0" w:space="0" w:color="auto"/>
        <w:left w:val="none" w:sz="0" w:space="0" w:color="auto"/>
        <w:bottom w:val="none" w:sz="0" w:space="0" w:color="auto"/>
        <w:right w:val="none" w:sz="0" w:space="0" w:color="auto"/>
      </w:divBdr>
    </w:div>
    <w:div w:id="347754502">
      <w:bodyDiv w:val="1"/>
      <w:marLeft w:val="0"/>
      <w:marRight w:val="0"/>
      <w:marTop w:val="0"/>
      <w:marBottom w:val="0"/>
      <w:divBdr>
        <w:top w:val="none" w:sz="0" w:space="0" w:color="auto"/>
        <w:left w:val="none" w:sz="0" w:space="0" w:color="auto"/>
        <w:bottom w:val="none" w:sz="0" w:space="0" w:color="auto"/>
        <w:right w:val="none" w:sz="0" w:space="0" w:color="auto"/>
      </w:divBdr>
    </w:div>
    <w:div w:id="439960263">
      <w:bodyDiv w:val="1"/>
      <w:marLeft w:val="0"/>
      <w:marRight w:val="0"/>
      <w:marTop w:val="0"/>
      <w:marBottom w:val="0"/>
      <w:divBdr>
        <w:top w:val="none" w:sz="0" w:space="0" w:color="auto"/>
        <w:left w:val="none" w:sz="0" w:space="0" w:color="auto"/>
        <w:bottom w:val="none" w:sz="0" w:space="0" w:color="auto"/>
        <w:right w:val="none" w:sz="0" w:space="0" w:color="auto"/>
      </w:divBdr>
    </w:div>
    <w:div w:id="574365490">
      <w:bodyDiv w:val="1"/>
      <w:marLeft w:val="0"/>
      <w:marRight w:val="0"/>
      <w:marTop w:val="0"/>
      <w:marBottom w:val="0"/>
      <w:divBdr>
        <w:top w:val="none" w:sz="0" w:space="0" w:color="auto"/>
        <w:left w:val="none" w:sz="0" w:space="0" w:color="auto"/>
        <w:bottom w:val="none" w:sz="0" w:space="0" w:color="auto"/>
        <w:right w:val="none" w:sz="0" w:space="0" w:color="auto"/>
      </w:divBdr>
    </w:div>
    <w:div w:id="720060690">
      <w:bodyDiv w:val="1"/>
      <w:marLeft w:val="0"/>
      <w:marRight w:val="0"/>
      <w:marTop w:val="0"/>
      <w:marBottom w:val="0"/>
      <w:divBdr>
        <w:top w:val="none" w:sz="0" w:space="0" w:color="auto"/>
        <w:left w:val="none" w:sz="0" w:space="0" w:color="auto"/>
        <w:bottom w:val="none" w:sz="0" w:space="0" w:color="auto"/>
        <w:right w:val="none" w:sz="0" w:space="0" w:color="auto"/>
      </w:divBdr>
    </w:div>
    <w:div w:id="884365379">
      <w:bodyDiv w:val="1"/>
      <w:marLeft w:val="0"/>
      <w:marRight w:val="0"/>
      <w:marTop w:val="0"/>
      <w:marBottom w:val="0"/>
      <w:divBdr>
        <w:top w:val="none" w:sz="0" w:space="0" w:color="auto"/>
        <w:left w:val="none" w:sz="0" w:space="0" w:color="auto"/>
        <w:bottom w:val="none" w:sz="0" w:space="0" w:color="auto"/>
        <w:right w:val="none" w:sz="0" w:space="0" w:color="auto"/>
      </w:divBdr>
    </w:div>
    <w:div w:id="1029791824">
      <w:bodyDiv w:val="1"/>
      <w:marLeft w:val="0"/>
      <w:marRight w:val="0"/>
      <w:marTop w:val="0"/>
      <w:marBottom w:val="0"/>
      <w:divBdr>
        <w:top w:val="none" w:sz="0" w:space="0" w:color="auto"/>
        <w:left w:val="none" w:sz="0" w:space="0" w:color="auto"/>
        <w:bottom w:val="none" w:sz="0" w:space="0" w:color="auto"/>
        <w:right w:val="none" w:sz="0" w:space="0" w:color="auto"/>
      </w:divBdr>
    </w:div>
    <w:div w:id="1202286094">
      <w:bodyDiv w:val="1"/>
      <w:marLeft w:val="0"/>
      <w:marRight w:val="0"/>
      <w:marTop w:val="0"/>
      <w:marBottom w:val="0"/>
      <w:divBdr>
        <w:top w:val="none" w:sz="0" w:space="0" w:color="auto"/>
        <w:left w:val="none" w:sz="0" w:space="0" w:color="auto"/>
        <w:bottom w:val="none" w:sz="0" w:space="0" w:color="auto"/>
        <w:right w:val="none" w:sz="0" w:space="0" w:color="auto"/>
      </w:divBdr>
    </w:div>
    <w:div w:id="1366978210">
      <w:bodyDiv w:val="1"/>
      <w:marLeft w:val="0"/>
      <w:marRight w:val="0"/>
      <w:marTop w:val="0"/>
      <w:marBottom w:val="0"/>
      <w:divBdr>
        <w:top w:val="none" w:sz="0" w:space="0" w:color="auto"/>
        <w:left w:val="none" w:sz="0" w:space="0" w:color="auto"/>
        <w:bottom w:val="none" w:sz="0" w:space="0" w:color="auto"/>
        <w:right w:val="none" w:sz="0" w:space="0" w:color="auto"/>
      </w:divBdr>
    </w:div>
    <w:div w:id="1768305784">
      <w:bodyDiv w:val="1"/>
      <w:marLeft w:val="0"/>
      <w:marRight w:val="0"/>
      <w:marTop w:val="0"/>
      <w:marBottom w:val="0"/>
      <w:divBdr>
        <w:top w:val="none" w:sz="0" w:space="0" w:color="auto"/>
        <w:left w:val="none" w:sz="0" w:space="0" w:color="auto"/>
        <w:bottom w:val="none" w:sz="0" w:space="0" w:color="auto"/>
        <w:right w:val="none" w:sz="0" w:space="0" w:color="auto"/>
      </w:divBdr>
    </w:div>
    <w:div w:id="21252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worldbank.org/en/publication/documents-reports/documentdetail/099184503212328877/p1801740d1177f03c0ab180057556615497"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90248-A102-4FA8-9048-0B640AE5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7201</Words>
  <Characters>41047</Characters>
  <Application>Microsoft Office Word</Application>
  <DocSecurity>0</DocSecurity>
  <Lines>342</Lines>
  <Paragraphs>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48152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 Blom</dc:creator>
  <cp:keywords/>
  <dc:description/>
  <cp:lastModifiedBy>Jasmin Frentzel Sørensen</cp:lastModifiedBy>
  <cp:revision>7</cp:revision>
  <cp:lastPrinted>2023-04-27T14:59:00Z</cp:lastPrinted>
  <dcterms:created xsi:type="dcterms:W3CDTF">2023-05-18T07:06:00Z</dcterms:created>
  <dcterms:modified xsi:type="dcterms:W3CDTF">2023-05-19T08:57:00Z</dcterms:modified>
</cp:coreProperties>
</file>