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E4D0" w14:textId="77777777" w:rsidR="00AC78C3" w:rsidRDefault="00AC78C3">
      <w:pPr>
        <w:rPr>
          <w:b/>
          <w:bCs/>
          <w:lang w:val="en-US"/>
        </w:rPr>
      </w:pPr>
      <w:proofErr w:type="spellStart"/>
      <w:r w:rsidRPr="00AC78C3">
        <w:rPr>
          <w:b/>
          <w:bCs/>
          <w:lang w:val="en-US"/>
        </w:rPr>
        <w:t>PlanBørnefonden’s</w:t>
      </w:r>
      <w:proofErr w:type="spellEnd"/>
      <w:r w:rsidRPr="00AC78C3">
        <w:rPr>
          <w:b/>
          <w:bCs/>
          <w:lang w:val="en-US"/>
        </w:rPr>
        <w:t xml:space="preserve"> response</w:t>
      </w:r>
      <w:r w:rsidR="00714830" w:rsidRPr="00AC78C3">
        <w:rPr>
          <w:b/>
          <w:bCs/>
          <w:lang w:val="en-US"/>
        </w:rPr>
        <w:t xml:space="preserve"> to: </w:t>
      </w:r>
    </w:p>
    <w:p w14:paraId="16783D2A" w14:textId="445FC35F" w:rsidR="00BB416E" w:rsidRPr="00AC78C3" w:rsidRDefault="00714830">
      <w:pPr>
        <w:rPr>
          <w:b/>
          <w:bCs/>
          <w:lang w:val="en-US"/>
        </w:rPr>
      </w:pPr>
      <w:r w:rsidRPr="00AC78C3">
        <w:rPr>
          <w:b/>
          <w:bCs/>
          <w:lang w:val="en-US"/>
        </w:rPr>
        <w:t>Transition Framework for Denmark’s engagement in Mali 2024-2027:</w:t>
      </w:r>
    </w:p>
    <w:p w14:paraId="0F1FDF12" w14:textId="77777777" w:rsidR="00FE2248" w:rsidRDefault="00FE2248" w:rsidP="00FE22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URW DIN Light" w:eastAsia="Times New Roman" w:hAnsi="URW DIN Light" w:cs="Times New Roman"/>
          <w:color w:val="000000"/>
          <w:lang w:val="en-US" w:eastAsia="da-DK"/>
        </w:rPr>
        <w:t> </w:t>
      </w:r>
    </w:p>
    <w:p w14:paraId="54BD7FCB" w14:textId="6BE81DB5" w:rsidR="00FE2248" w:rsidRDefault="00FE2248" w:rsidP="00FE224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PlanBørnefonden appreciates the Transition Framework for Denmark’s engagement in Mali 2024-2027</w:t>
      </w:r>
      <w:r w:rsidR="00AC78C3">
        <w:rPr>
          <w:rFonts w:eastAsia="Times New Roman"/>
          <w:lang w:val="en-US"/>
        </w:rPr>
        <w:t xml:space="preserve"> and the continued engagement of Denmark in Mali, despite the very complex and challenging situation. </w:t>
      </w:r>
    </w:p>
    <w:p w14:paraId="04DC68D0" w14:textId="14DE5C84" w:rsidR="00FE2248" w:rsidRDefault="00F00022" w:rsidP="00FE224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PlanBørnefonden emphasize that it is key to</w:t>
      </w:r>
      <w:r w:rsidR="00FE2248">
        <w:rPr>
          <w:rFonts w:eastAsia="Times New Roman"/>
          <w:lang w:val="en-US"/>
        </w:rPr>
        <w:t xml:space="preserve"> continue support of vulnerable youth to generate income and </w:t>
      </w:r>
      <w:r w:rsidR="00AE063B">
        <w:rPr>
          <w:rFonts w:eastAsia="Times New Roman"/>
          <w:lang w:val="en-US"/>
        </w:rPr>
        <w:t>economic</w:t>
      </w:r>
      <w:r w:rsidR="00FE2248">
        <w:rPr>
          <w:rFonts w:eastAsia="Times New Roman"/>
          <w:lang w:val="en-US"/>
        </w:rPr>
        <w:t xml:space="preserve"> opportunities, despite the very complex and challenging context. </w:t>
      </w:r>
      <w:r w:rsidR="00AE063B">
        <w:rPr>
          <w:rFonts w:eastAsia="Times New Roman"/>
          <w:lang w:val="en-US"/>
        </w:rPr>
        <w:t xml:space="preserve">We thus acknowledge the continuation of the FAMOC and the FACEJ </w:t>
      </w:r>
      <w:proofErr w:type="spellStart"/>
      <w:r w:rsidR="00AE063B">
        <w:rPr>
          <w:rFonts w:eastAsia="Times New Roman"/>
          <w:lang w:val="en-US"/>
        </w:rPr>
        <w:t>programmes</w:t>
      </w:r>
      <w:proofErr w:type="spellEnd"/>
      <w:r w:rsidR="00AE063B">
        <w:rPr>
          <w:rFonts w:eastAsia="Times New Roman"/>
          <w:lang w:val="en-US"/>
        </w:rPr>
        <w:t xml:space="preserve"> under the Transition Framework for Denmark’s Engagement in Mali 2024-2027. </w:t>
      </w:r>
    </w:p>
    <w:p w14:paraId="674317FB" w14:textId="019C553C" w:rsidR="00E56B4C" w:rsidRDefault="00E56B4C" w:rsidP="00FE224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With regards to FACEJ, PlanBørnefonden wants to add the following points (These has also been submitted in a separate response):</w:t>
      </w:r>
    </w:p>
    <w:p w14:paraId="5699C7DD" w14:textId="77777777" w:rsidR="00E56B4C" w:rsidRPr="00067BDA" w:rsidRDefault="00E56B4C" w:rsidP="00E56B4C">
      <w:pPr>
        <w:pStyle w:val="xmsonormal"/>
        <w:numPr>
          <w:ilvl w:val="1"/>
          <w:numId w:val="1"/>
        </w:numPr>
        <w:rPr>
          <w:rFonts w:eastAsia="Times New Roman"/>
          <w:lang w:val="en-US"/>
        </w:rPr>
      </w:pPr>
      <w:r w:rsidRPr="00067BDA">
        <w:rPr>
          <w:rFonts w:eastAsia="Times New Roman"/>
          <w:lang w:val="en-US"/>
        </w:rPr>
        <w:t xml:space="preserve">It would be relevant to look at how future scenarios for Mali (identified in the </w:t>
      </w:r>
      <w:r>
        <w:rPr>
          <w:rFonts w:eastAsia="Times New Roman"/>
          <w:lang w:val="en-US"/>
        </w:rPr>
        <w:t>T</w:t>
      </w:r>
      <w:r w:rsidRPr="00067BDA">
        <w:rPr>
          <w:rFonts w:eastAsia="Times New Roman"/>
          <w:lang w:val="en-US"/>
        </w:rPr>
        <w:t xml:space="preserve">ransition </w:t>
      </w:r>
      <w:proofErr w:type="spellStart"/>
      <w:r>
        <w:rPr>
          <w:rStyle w:val="xspelle"/>
          <w:rFonts w:eastAsia="Times New Roman"/>
          <w:lang w:val="en-US"/>
        </w:rPr>
        <w:t>P</w:t>
      </w:r>
      <w:r w:rsidRPr="00067BDA">
        <w:rPr>
          <w:rStyle w:val="xspelle"/>
          <w:rFonts w:eastAsia="Times New Roman"/>
          <w:lang w:val="en-US"/>
        </w:rPr>
        <w:t>rogramme</w:t>
      </w:r>
      <w:proofErr w:type="spellEnd"/>
      <w:r w:rsidRPr="00067BDA">
        <w:rPr>
          <w:rFonts w:eastAsia="Times New Roman"/>
          <w:lang w:val="en-US"/>
        </w:rPr>
        <w:t xml:space="preserve">) are anticipated to affect FACEJ II and the expected </w:t>
      </w:r>
      <w:r w:rsidRPr="00067BDA">
        <w:rPr>
          <w:rStyle w:val="xgrame"/>
          <w:lang w:val="en-US"/>
        </w:rPr>
        <w:t>results. </w:t>
      </w:r>
    </w:p>
    <w:p w14:paraId="64955C60" w14:textId="77777777" w:rsidR="00E56B4C" w:rsidRPr="00067BDA" w:rsidRDefault="00E56B4C" w:rsidP="00E56B4C">
      <w:pPr>
        <w:pStyle w:val="xmsonormal"/>
        <w:numPr>
          <w:ilvl w:val="1"/>
          <w:numId w:val="1"/>
        </w:numPr>
        <w:rPr>
          <w:rFonts w:eastAsia="Times New Roman"/>
          <w:lang w:val="en-US"/>
        </w:rPr>
      </w:pPr>
      <w:r w:rsidRPr="00067BDA">
        <w:rPr>
          <w:rFonts w:eastAsia="Times New Roman"/>
          <w:lang w:val="en-US"/>
        </w:rPr>
        <w:t xml:space="preserve">It is very relevant with the unallocated funds of 1.8% that could be used as a crisis modifier to adapt to the changing context and needs during the </w:t>
      </w:r>
      <w:proofErr w:type="spellStart"/>
      <w:r w:rsidRPr="00067BDA">
        <w:rPr>
          <w:rFonts w:eastAsia="Times New Roman"/>
          <w:lang w:val="en-US"/>
        </w:rPr>
        <w:t>programme</w:t>
      </w:r>
      <w:proofErr w:type="spellEnd"/>
      <w:r w:rsidRPr="00067BDA">
        <w:rPr>
          <w:rFonts w:eastAsia="Times New Roman"/>
          <w:lang w:val="en-US"/>
        </w:rPr>
        <w:t xml:space="preserve"> period - but it would be relevant with a higher percentage to account for the very volatile and difficult </w:t>
      </w:r>
      <w:r w:rsidRPr="00067BDA">
        <w:rPr>
          <w:rStyle w:val="xgrame"/>
          <w:lang w:val="en-US"/>
        </w:rPr>
        <w:t>context FACEJ II will be operating in.</w:t>
      </w:r>
    </w:p>
    <w:p w14:paraId="5105A8B7" w14:textId="77777777" w:rsidR="00E56B4C" w:rsidRPr="00067BDA" w:rsidRDefault="00E56B4C" w:rsidP="00E56B4C">
      <w:pPr>
        <w:pStyle w:val="xmsonormal"/>
        <w:numPr>
          <w:ilvl w:val="1"/>
          <w:numId w:val="1"/>
        </w:numPr>
        <w:rPr>
          <w:rFonts w:eastAsia="Times New Roman"/>
          <w:lang w:val="en-US"/>
        </w:rPr>
      </w:pPr>
      <w:r w:rsidRPr="00067BDA">
        <w:rPr>
          <w:rFonts w:eastAsia="Times New Roman"/>
          <w:lang w:val="en-US"/>
        </w:rPr>
        <w:t>The proposed project time frame of only 3 years will limit the possibilities for FACEJ II to conclude all activities and reach the expected results - it will be relevant to look at possibilities of prolonging FACEJ II. </w:t>
      </w:r>
    </w:p>
    <w:p w14:paraId="61264627" w14:textId="77777777" w:rsidR="00E56B4C" w:rsidRDefault="00E56B4C" w:rsidP="00E56B4C">
      <w:pPr>
        <w:pStyle w:val="xmsonormal"/>
        <w:numPr>
          <w:ilvl w:val="1"/>
          <w:numId w:val="1"/>
        </w:numPr>
        <w:rPr>
          <w:rFonts w:eastAsia="Times New Roman"/>
          <w:lang w:val="en-US"/>
        </w:rPr>
      </w:pPr>
      <w:r w:rsidRPr="00067BDA">
        <w:rPr>
          <w:rFonts w:eastAsia="Times New Roman"/>
          <w:lang w:val="en-US"/>
        </w:rPr>
        <w:t>It should be envisaged that FACEJ II takes over the ongoing engagements from FACEJ I at the level of the entrepreneurs, facilitators, and banks and are not possible to close before the start of FACEJ II. </w:t>
      </w:r>
    </w:p>
    <w:p w14:paraId="36400D2E" w14:textId="5DEE9DDE" w:rsidR="005368AB" w:rsidRPr="005368AB" w:rsidRDefault="005368AB" w:rsidP="005368AB">
      <w:pPr>
        <w:pStyle w:val="xmsonormal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PlanBørnefonden also recognize the importance of maintaining Denmark’s commitment to </w:t>
      </w:r>
      <w:r w:rsidR="005E3934" w:rsidRPr="005368AB">
        <w:rPr>
          <w:lang w:val="en-US"/>
        </w:rPr>
        <w:t>cross-cutting issues such as humanitarian principles, gender equality, human rights, and youth</w:t>
      </w:r>
      <w:r>
        <w:rPr>
          <w:lang w:val="en-US"/>
        </w:rPr>
        <w:t xml:space="preserve">. These </w:t>
      </w:r>
      <w:r w:rsidR="005E3934" w:rsidRPr="005368AB">
        <w:rPr>
          <w:lang w:val="en-US"/>
        </w:rPr>
        <w:t xml:space="preserve">will continue to be critical issues to address </w:t>
      </w:r>
      <w:proofErr w:type="gramStart"/>
      <w:r w:rsidR="005E3934" w:rsidRPr="005368AB">
        <w:rPr>
          <w:lang w:val="en-US"/>
        </w:rPr>
        <w:t>in order to</w:t>
      </w:r>
      <w:proofErr w:type="gramEnd"/>
      <w:r w:rsidR="005E3934" w:rsidRPr="005368AB">
        <w:rPr>
          <w:lang w:val="en-US"/>
        </w:rPr>
        <w:t xml:space="preserve"> resolve underlying conflict and fragility drivers and to generate lasting development, peace, and stability</w:t>
      </w:r>
      <w:r>
        <w:rPr>
          <w:lang w:val="en-US"/>
        </w:rPr>
        <w:t xml:space="preserve">. </w:t>
      </w:r>
    </w:p>
    <w:p w14:paraId="083EF50D" w14:textId="7E7C91C0" w:rsidR="005368AB" w:rsidRPr="005368AB" w:rsidRDefault="005368AB" w:rsidP="005368AB">
      <w:pPr>
        <w:pStyle w:val="xmsonormal"/>
        <w:numPr>
          <w:ilvl w:val="0"/>
          <w:numId w:val="1"/>
        </w:numPr>
        <w:rPr>
          <w:rFonts w:eastAsia="Times New Roman"/>
          <w:lang w:val="en-US"/>
        </w:rPr>
      </w:pPr>
      <w:r>
        <w:rPr>
          <w:lang w:val="en-US"/>
        </w:rPr>
        <w:t xml:space="preserve">In the Transition </w:t>
      </w:r>
      <w:r w:rsidR="00404E5F">
        <w:rPr>
          <w:lang w:val="en-US"/>
        </w:rPr>
        <w:t>Framework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Strategic CSO Partners with </w:t>
      </w:r>
      <w:proofErr w:type="spellStart"/>
      <w:r>
        <w:rPr>
          <w:lang w:val="en-US"/>
        </w:rPr>
        <w:t>Danida</w:t>
      </w:r>
      <w:proofErr w:type="spellEnd"/>
      <w:r>
        <w:rPr>
          <w:lang w:val="en-US"/>
        </w:rPr>
        <w:t xml:space="preserve"> are mentioned. PlanBørnefonden wants to </w:t>
      </w:r>
      <w:r w:rsidR="00404E5F">
        <w:rPr>
          <w:lang w:val="en-US"/>
        </w:rPr>
        <w:t xml:space="preserve">flag, that the Strategic Partnership with PlanBørnefonden in Mali is missing from the list. We suggest that this is added to the Framework. </w:t>
      </w:r>
    </w:p>
    <w:p w14:paraId="4D8829BE" w14:textId="108CAD82" w:rsidR="0003009B" w:rsidRPr="0003009B" w:rsidRDefault="0003009B">
      <w:pPr>
        <w:rPr>
          <w:lang w:val="en-US"/>
        </w:rPr>
      </w:pPr>
    </w:p>
    <w:sectPr w:rsidR="0003009B" w:rsidRPr="000300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 DIN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16587"/>
    <w:multiLevelType w:val="multilevel"/>
    <w:tmpl w:val="78B4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F5617"/>
    <w:multiLevelType w:val="hybridMultilevel"/>
    <w:tmpl w:val="7388C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42245">
    <w:abstractNumId w:val="1"/>
  </w:num>
  <w:num w:numId="2" w16cid:durableId="813448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30"/>
    <w:rsid w:val="0003009B"/>
    <w:rsid w:val="00404E5F"/>
    <w:rsid w:val="005368AB"/>
    <w:rsid w:val="005E3934"/>
    <w:rsid w:val="005F186F"/>
    <w:rsid w:val="00714830"/>
    <w:rsid w:val="00774A9E"/>
    <w:rsid w:val="0079644C"/>
    <w:rsid w:val="008642DB"/>
    <w:rsid w:val="00991EF5"/>
    <w:rsid w:val="00AC78C3"/>
    <w:rsid w:val="00AE063B"/>
    <w:rsid w:val="00BB416E"/>
    <w:rsid w:val="00E56B4C"/>
    <w:rsid w:val="00F00022"/>
    <w:rsid w:val="00FC5CF1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1770"/>
  <w15:chartTrackingRefBased/>
  <w15:docId w15:val="{4D2F1729-E351-4242-B829-6CEFFC60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2248"/>
    <w:pPr>
      <w:spacing w:line="256" w:lineRule="auto"/>
      <w:ind w:left="720"/>
      <w:contextualSpacing/>
    </w:pPr>
    <w:rPr>
      <w:kern w:val="0"/>
      <w14:ligatures w14:val="none"/>
    </w:rPr>
  </w:style>
  <w:style w:type="paragraph" w:customStyle="1" w:styleId="xmsonormal">
    <w:name w:val="x_msonormal"/>
    <w:basedOn w:val="Normal"/>
    <w:rsid w:val="00E56B4C"/>
    <w:pPr>
      <w:spacing w:after="0" w:line="240" w:lineRule="auto"/>
    </w:pPr>
    <w:rPr>
      <w:rFonts w:ascii="Calibri" w:hAnsi="Calibri" w:cs="Calibri"/>
      <w:kern w:val="0"/>
      <w:lang w:eastAsia="da-DK"/>
      <w14:ligatures w14:val="none"/>
    </w:rPr>
  </w:style>
  <w:style w:type="character" w:customStyle="1" w:styleId="xspelle">
    <w:name w:val="x_spelle"/>
    <w:basedOn w:val="Standardskrifttypeiafsnit"/>
    <w:rsid w:val="00E56B4C"/>
  </w:style>
  <w:style w:type="character" w:customStyle="1" w:styleId="xgrame">
    <w:name w:val="x_grame"/>
    <w:basedOn w:val="Standardskrifttypeiafsnit"/>
    <w:rsid w:val="00E5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318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Enstrøm, Sofie Lindkvist</dc:creator>
  <cp:keywords/>
  <dc:description/>
  <cp:lastModifiedBy>Enstrøm, Sofie Lindkvist</cp:lastModifiedBy>
  <cp:revision>11</cp:revision>
  <dcterms:created xsi:type="dcterms:W3CDTF">2023-10-04T13:34:00Z</dcterms:created>
  <dcterms:modified xsi:type="dcterms:W3CDTF">2023-10-06T10:01:00Z</dcterms:modified>
</cp:coreProperties>
</file>