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FD96" w14:textId="77777777" w:rsidR="00973DC1" w:rsidRDefault="00973DC1" w:rsidP="00973DC1">
      <w:pPr>
        <w:spacing w:after="100"/>
        <w:rPr>
          <w:rFonts w:ascii="Garamond" w:hAnsi="Garamond"/>
          <w:b/>
          <w:sz w:val="32"/>
          <w:szCs w:val="32"/>
        </w:rPr>
      </w:pPr>
    </w:p>
    <w:p w14:paraId="6C1E377A" w14:textId="759693AB" w:rsidR="00973DC1" w:rsidRPr="00D64CBC" w:rsidRDefault="00973DC1" w:rsidP="00973DC1">
      <w:pPr>
        <w:spacing w:after="100"/>
        <w:rPr>
          <w:rFonts w:ascii="Garamond" w:hAnsi="Garamond"/>
          <w:b/>
          <w:sz w:val="32"/>
          <w:szCs w:val="32"/>
        </w:rPr>
      </w:pPr>
      <w:r w:rsidRPr="00D64CBC">
        <w:rPr>
          <w:rFonts w:ascii="Garamond" w:hAnsi="Garamond"/>
          <w:b/>
          <w:sz w:val="32"/>
          <w:szCs w:val="32"/>
        </w:rPr>
        <w:t>Annex 9</w:t>
      </w:r>
    </w:p>
    <w:p w14:paraId="5E433CB4" w14:textId="77777777" w:rsidR="00973DC1" w:rsidRDefault="00973DC1" w:rsidP="00973DC1">
      <w:pPr>
        <w:jc w:val="both"/>
        <w:rPr>
          <w:rStyle w:val="Intet"/>
          <w:rFonts w:ascii="Garamond" w:hAnsi="Garamond" w:cs="Noto Sans"/>
          <w:b/>
          <w:sz w:val="32"/>
          <w:szCs w:val="32"/>
        </w:rPr>
      </w:pPr>
      <w:r w:rsidRPr="00D64CBC">
        <w:rPr>
          <w:rStyle w:val="Intet"/>
          <w:rFonts w:ascii="Garamond" w:hAnsi="Garamond" w:cs="Noto Sans"/>
          <w:b/>
          <w:sz w:val="32"/>
          <w:szCs w:val="32"/>
        </w:rPr>
        <w:t xml:space="preserve">Guidelines SPA portfolio-level results system </w:t>
      </w:r>
      <w:r>
        <w:rPr>
          <w:rStyle w:val="Intet"/>
          <w:rFonts w:ascii="Garamond" w:hAnsi="Garamond" w:cs="Noto Sans"/>
          <w:b/>
          <w:sz w:val="32"/>
          <w:szCs w:val="32"/>
        </w:rPr>
        <w:t>(SPRS)</w:t>
      </w:r>
    </w:p>
    <w:p w14:paraId="64E8CE8F" w14:textId="52A325E8" w:rsidR="00154CD5" w:rsidRDefault="00154CD5" w:rsidP="00154CD5">
      <w:pPr>
        <w:spacing w:after="100"/>
      </w:pPr>
      <w:r w:rsidRPr="00BE0A19">
        <w:rPr>
          <w:noProof/>
          <w:lang w:val="da-DK" w:eastAsia="da-DK"/>
        </w:rPr>
        <mc:AlternateContent>
          <mc:Choice Requires="wps">
            <w:drawing>
              <wp:anchor distT="0" distB="0" distL="114300" distR="114300" simplePos="0" relativeHeight="251678720" behindDoc="1" locked="0" layoutInCell="1" allowOverlap="1" wp14:anchorId="2FC13231" wp14:editId="7D2153A7">
                <wp:simplePos x="0" y="0"/>
                <wp:positionH relativeFrom="column">
                  <wp:posOffset>-457200</wp:posOffset>
                </wp:positionH>
                <wp:positionV relativeFrom="paragraph">
                  <wp:posOffset>182776</wp:posOffset>
                </wp:positionV>
                <wp:extent cx="7090410" cy="637953"/>
                <wp:effectExtent l="0" t="0" r="15240" b="10160"/>
                <wp:wrapNone/>
                <wp:docPr id="2" name="Rectangle 2"/>
                <wp:cNvGraphicFramePr/>
                <a:graphic xmlns:a="http://schemas.openxmlformats.org/drawingml/2006/main">
                  <a:graphicData uri="http://schemas.microsoft.com/office/word/2010/wordprocessingShape">
                    <wps:wsp>
                      <wps:cNvSpPr/>
                      <wps:spPr>
                        <a:xfrm>
                          <a:off x="0" y="0"/>
                          <a:ext cx="7090410" cy="637953"/>
                        </a:xfrm>
                        <a:prstGeom prst="rect">
                          <a:avLst/>
                        </a:prstGeom>
                        <a:solidFill>
                          <a:srgbClr val="6A8C7D"/>
                        </a:solidFill>
                        <a:ln>
                          <a:solidFill>
                            <a:srgbClr val="6A8C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72792" id="Rectangle 2" o:spid="_x0000_s1026" style="position:absolute;margin-left:-36pt;margin-top:14.4pt;width:558.3pt;height:5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" fillcolor="#6a8c7d" strokecolor="#6a8c7d" strokeweight="1pt"/>
            </w:pict>
          </mc:Fallback>
        </mc:AlternateContent>
      </w:r>
    </w:p>
    <w:p w14:paraId="01EBB5C9" w14:textId="77777777" w:rsidR="00973DC1" w:rsidRPr="00C41E61" w:rsidRDefault="00973DC1" w:rsidP="00973DC1">
      <w:pPr>
        <w:pStyle w:val="Title-Line2"/>
        <w:spacing w:before="120" w:after="120"/>
        <w:jc w:val="center"/>
        <w:rPr>
          <w:szCs w:val="72"/>
        </w:rPr>
      </w:pPr>
      <w:r w:rsidRPr="00C41E61">
        <w:rPr>
          <w:szCs w:val="72"/>
        </w:rPr>
        <w:t>guidelines</w:t>
      </w:r>
      <w:r>
        <w:rPr>
          <w:szCs w:val="72"/>
        </w:rPr>
        <w:t xml:space="preserve"> SPRS</w:t>
      </w:r>
    </w:p>
    <w:p w14:paraId="73F0C9B3" w14:textId="0EFF149B" w:rsidR="005F1E5B" w:rsidRPr="00473257" w:rsidRDefault="00EC060F" w:rsidP="00C41E61">
      <w:pPr>
        <w:pStyle w:val="Abstract"/>
        <w:rPr>
          <w:color w:val="0070C0"/>
        </w:rPr>
      </w:pPr>
      <w:r>
        <w:rPr>
          <w:color w:val="auto"/>
        </w:rPr>
        <w:t>This document provides a</w:t>
      </w:r>
      <w:r w:rsidR="00C41E61">
        <w:rPr>
          <w:color w:val="auto"/>
        </w:rPr>
        <w:t>n</w:t>
      </w:r>
      <w:r>
        <w:rPr>
          <w:color w:val="auto"/>
        </w:rPr>
        <w:t xml:space="preserve"> overview of the new, proposed SPA Portfolio-level Results System (SPRS)</w:t>
      </w:r>
      <w:r w:rsidR="00C41E61">
        <w:rPr>
          <w:color w:val="auto"/>
        </w:rPr>
        <w:t xml:space="preserve"> for SPA partners</w:t>
      </w:r>
      <w:r w:rsidR="002367AA">
        <w:rPr>
          <w:color w:val="auto"/>
        </w:rPr>
        <w:t>.</w:t>
      </w:r>
      <w:r>
        <w:rPr>
          <w:color w:val="auto"/>
        </w:rPr>
        <w:t xml:space="preserve"> </w:t>
      </w:r>
      <w:r w:rsidR="00D02F13">
        <w:rPr>
          <w:color w:val="auto"/>
        </w:rPr>
        <w:t xml:space="preserve">In the new system, </w:t>
      </w:r>
      <w:r w:rsidR="00C41E61" w:rsidRPr="00C41E61">
        <w:rPr>
          <w:color w:val="auto"/>
        </w:rPr>
        <w:t xml:space="preserve">SPA partners </w:t>
      </w:r>
      <w:r w:rsidR="00D02F13">
        <w:rPr>
          <w:color w:val="auto"/>
        </w:rPr>
        <w:t>will</w:t>
      </w:r>
      <w:r w:rsidR="00C41E61" w:rsidRPr="00C41E61">
        <w:rPr>
          <w:color w:val="auto"/>
        </w:rPr>
        <w:t xml:space="preserve"> </w:t>
      </w:r>
      <w:r w:rsidR="00ED7BC1">
        <w:rPr>
          <w:color w:val="auto"/>
        </w:rPr>
        <w:t>publish</w:t>
      </w:r>
      <w:r w:rsidR="00ED7BC1" w:rsidRPr="00C41E61">
        <w:rPr>
          <w:color w:val="auto"/>
        </w:rPr>
        <w:t xml:space="preserve"> </w:t>
      </w:r>
      <w:r w:rsidR="00C41E61" w:rsidRPr="00C41E61">
        <w:rPr>
          <w:color w:val="auto"/>
        </w:rPr>
        <w:t xml:space="preserve">three high-quality case studies per year, mapped onto </w:t>
      </w:r>
      <w:r w:rsidR="004D774A">
        <w:rPr>
          <w:color w:val="auto"/>
        </w:rPr>
        <w:t>domain</w:t>
      </w:r>
      <w:r w:rsidR="00C41E61" w:rsidRPr="00C41E61">
        <w:rPr>
          <w:color w:val="auto"/>
        </w:rPr>
        <w:t xml:space="preserve">s of change, and produced according to a standard template. </w:t>
      </w:r>
      <w:r w:rsidR="00C41E61">
        <w:rPr>
          <w:color w:val="auto"/>
        </w:rPr>
        <w:t xml:space="preserve">They </w:t>
      </w:r>
      <w:r w:rsidR="00D02F13">
        <w:rPr>
          <w:color w:val="auto"/>
        </w:rPr>
        <w:t xml:space="preserve">will </w:t>
      </w:r>
      <w:r w:rsidR="00C41E61">
        <w:rPr>
          <w:color w:val="auto"/>
        </w:rPr>
        <w:t xml:space="preserve">also </w:t>
      </w:r>
      <w:r w:rsidR="00D02F13">
        <w:rPr>
          <w:color w:val="auto"/>
        </w:rPr>
        <w:t xml:space="preserve">be </w:t>
      </w:r>
      <w:r w:rsidR="00C41E61" w:rsidRPr="00C41E61">
        <w:rPr>
          <w:color w:val="auto"/>
        </w:rPr>
        <w:t xml:space="preserve">expected to report on two output level indicators, providing a sense of scale across the portfolio. </w:t>
      </w:r>
    </w:p>
    <w:p w14:paraId="7776BE27" w14:textId="77777777" w:rsidR="005D4F2D" w:rsidRPr="005D4F2D" w:rsidRDefault="005D4F2D" w:rsidP="003E21EA">
      <w:pPr>
        <w:pStyle w:val="Abstract"/>
        <w:spacing w:before="0" w:after="0"/>
        <w:sectPr w:rsidR="005D4F2D" w:rsidRPr="005D4F2D" w:rsidSect="00973DC1">
          <w:headerReference w:type="default" r:id="rId8"/>
          <w:footerReference w:type="default" r:id="rId9"/>
          <w:headerReference w:type="first" r:id="rId10"/>
          <w:pgSz w:w="11906" w:h="16838"/>
          <w:pgMar w:top="720" w:right="720" w:bottom="720" w:left="720" w:header="709" w:footer="142" w:gutter="0"/>
          <w:cols w:space="726"/>
          <w:titlePg/>
          <w:docGrid w:linePitch="360"/>
        </w:sectPr>
      </w:pPr>
      <w:r w:rsidRPr="003976A7">
        <w:rPr>
          <w:noProof/>
          <w:color w:val="6A8C7D"/>
          <w:sz w:val="250"/>
          <w:szCs w:val="250"/>
          <w:lang w:val="da-DK" w:eastAsia="da-DK"/>
        </w:rPr>
        <mc:AlternateContent>
          <mc:Choice Requires="wps">
            <w:drawing>
              <wp:anchor distT="0" distB="0" distL="114300" distR="114300" simplePos="0" relativeHeight="251618304" behindDoc="0" locked="0" layoutInCell="1" allowOverlap="1" wp14:anchorId="32C80F05" wp14:editId="3FF509A9">
                <wp:simplePos x="0" y="0"/>
                <wp:positionH relativeFrom="column">
                  <wp:posOffset>0</wp:posOffset>
                </wp:positionH>
                <wp:positionV relativeFrom="paragraph">
                  <wp:posOffset>52705</wp:posOffset>
                </wp:positionV>
                <wp:extent cx="6629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9050">
                          <a:solidFill>
                            <a:srgbClr val="6A8C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5060BD" id="Straight Connector 18" o:spid="_x0000_s1026" style="position:absolute;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15pt" to="5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" strokecolor="#6a8c7d" strokeweight="1.5pt">
                <v:stroke joinstyle="miter"/>
              </v:line>
            </w:pict>
          </mc:Fallback>
        </mc:AlternateContent>
      </w:r>
    </w:p>
    <w:p w14:paraId="603A4B0C" w14:textId="77777777" w:rsidR="00973DC1" w:rsidRDefault="00973DC1" w:rsidP="00403F10">
      <w:pPr>
        <w:spacing w:after="120"/>
        <w:rPr>
          <w:b/>
          <w:bCs/>
          <w:sz w:val="36"/>
          <w:szCs w:val="36"/>
        </w:rPr>
      </w:pPr>
    </w:p>
    <w:p w14:paraId="2CF95C19" w14:textId="63DAE970" w:rsidR="00403F10" w:rsidRPr="006D2679" w:rsidRDefault="00403F10" w:rsidP="00403F10">
      <w:pPr>
        <w:spacing w:after="120"/>
        <w:rPr>
          <w:b/>
          <w:bCs/>
          <w:sz w:val="36"/>
          <w:szCs w:val="36"/>
        </w:rPr>
      </w:pPr>
      <w:r>
        <w:rPr>
          <w:b/>
          <w:bCs/>
          <w:sz w:val="36"/>
          <w:szCs w:val="36"/>
        </w:rPr>
        <w:t>The purpose of the SPRS</w:t>
      </w:r>
    </w:p>
    <w:p w14:paraId="411E7CAD" w14:textId="533F5D5C" w:rsidR="005C5F4C" w:rsidRDefault="005C5F4C" w:rsidP="00403F10">
      <w:pPr>
        <w:spacing w:after="120"/>
        <w:rPr>
          <w:rFonts w:eastAsia="Calibri" w:cstheme="minorHAnsi"/>
          <w:szCs w:val="20"/>
        </w:rPr>
      </w:pPr>
      <w:r w:rsidRPr="005C5F4C">
        <w:rPr>
          <w:rFonts w:eastAsia="Calibri" w:cstheme="minorHAnsi"/>
          <w:szCs w:val="20"/>
        </w:rPr>
        <w:t xml:space="preserve">As with any portfolio-based system, there </w:t>
      </w:r>
      <w:r w:rsidR="00600B4C">
        <w:rPr>
          <w:rFonts w:eastAsia="Calibri" w:cstheme="minorHAnsi"/>
          <w:szCs w:val="20"/>
        </w:rPr>
        <w:t>are</w:t>
      </w:r>
      <w:r w:rsidRPr="005C5F4C">
        <w:rPr>
          <w:rFonts w:eastAsia="Calibri" w:cstheme="minorHAnsi"/>
          <w:szCs w:val="20"/>
        </w:rPr>
        <w:t xml:space="preserve"> multiple potential purposes. However, the primary purpose </w:t>
      </w:r>
      <w:r w:rsidR="00600B4C">
        <w:rPr>
          <w:rFonts w:eastAsia="Calibri" w:cstheme="minorHAnsi"/>
          <w:szCs w:val="20"/>
        </w:rPr>
        <w:t>of the SPRS is</w:t>
      </w:r>
      <w:r w:rsidRPr="005C5F4C">
        <w:rPr>
          <w:rFonts w:eastAsia="Calibri" w:cstheme="minorHAnsi"/>
          <w:szCs w:val="20"/>
        </w:rPr>
        <w:t xml:space="preserve"> to enable better communication of SPA partner results to the wider public and other stakeholders, including the Danish government. Specifically, the system will be designed to feed into the OpenAid website</w:t>
      </w:r>
      <w:r w:rsidRPr="005C5F4C">
        <w:rPr>
          <w:rFonts w:eastAsia="Calibri" w:cstheme="minorHAnsi"/>
          <w:szCs w:val="20"/>
          <w:vertAlign w:val="superscript"/>
        </w:rPr>
        <w:footnoteReference w:id="1"/>
      </w:r>
      <w:r w:rsidRPr="005C5F4C">
        <w:rPr>
          <w:rFonts w:eastAsia="Calibri" w:cstheme="minorHAnsi"/>
          <w:szCs w:val="20"/>
        </w:rPr>
        <w:t xml:space="preserve"> to complement existing information, such as financial information on where Danish MFA money is spent.</w:t>
      </w:r>
    </w:p>
    <w:p w14:paraId="51498958" w14:textId="20B3D79C" w:rsidR="00D02F13" w:rsidRPr="00131AB9" w:rsidRDefault="00131AB9" w:rsidP="00BA3F43">
      <w:pPr>
        <w:spacing w:after="120"/>
        <w:rPr>
          <w:rFonts w:eastAsia="Calibri" w:cstheme="minorHAnsi"/>
          <w:strike/>
          <w:szCs w:val="20"/>
        </w:rPr>
      </w:pPr>
      <w:r>
        <w:rPr>
          <w:rFonts w:eastAsia="Calibri" w:cstheme="minorHAnsi"/>
          <w:szCs w:val="20"/>
        </w:rPr>
        <w:t>The system will likely also be used to enhance learning and decision-making going forward by providing a structured overview of key changes by strategy area across the SPA period.</w:t>
      </w:r>
      <w:r w:rsidR="000F6DDE">
        <w:rPr>
          <w:rFonts w:eastAsia="Calibri" w:cstheme="minorHAnsi"/>
          <w:szCs w:val="20"/>
        </w:rPr>
        <w:t xml:space="preserve"> For example:</w:t>
      </w:r>
    </w:p>
    <w:p w14:paraId="0D26DBB3" w14:textId="77777777" w:rsidR="00D02F13" w:rsidRPr="005C5F4C" w:rsidRDefault="00D02F13" w:rsidP="00D02F13">
      <w:pPr>
        <w:numPr>
          <w:ilvl w:val="0"/>
          <w:numId w:val="5"/>
        </w:numPr>
        <w:ind w:left="357" w:hanging="357"/>
        <w:contextualSpacing/>
        <w:rPr>
          <w:rFonts w:eastAsia="Calibri" w:cstheme="minorHAnsi"/>
          <w:szCs w:val="20"/>
        </w:rPr>
      </w:pPr>
      <w:r w:rsidRPr="005C5F4C">
        <w:rPr>
          <w:rFonts w:eastAsia="Calibri" w:cstheme="minorHAnsi"/>
          <w:szCs w:val="20"/>
        </w:rPr>
        <w:t xml:space="preserve">There may be some analysis and reporting at portfolio level. For example, information generated through the </w:t>
      </w:r>
      <w:r>
        <w:rPr>
          <w:rFonts w:eastAsia="Calibri" w:cstheme="minorHAnsi"/>
          <w:szCs w:val="20"/>
        </w:rPr>
        <w:t>SPRS</w:t>
      </w:r>
      <w:r w:rsidRPr="005C5F4C">
        <w:rPr>
          <w:rFonts w:eastAsia="Calibri" w:cstheme="minorHAnsi"/>
          <w:szCs w:val="20"/>
        </w:rPr>
        <w:t xml:space="preserve"> could be analysed alongside other mechanisms to produce some short, annual summaries of </w:t>
      </w:r>
      <w:r>
        <w:rPr>
          <w:rFonts w:eastAsia="Calibri" w:cstheme="minorHAnsi"/>
          <w:szCs w:val="20"/>
        </w:rPr>
        <w:t>SPA partners</w:t>
      </w:r>
      <w:r w:rsidRPr="005C5F4C">
        <w:rPr>
          <w:rFonts w:eastAsia="Calibri" w:cstheme="minorHAnsi"/>
          <w:szCs w:val="20"/>
        </w:rPr>
        <w:t>’ work.</w:t>
      </w:r>
    </w:p>
    <w:p w14:paraId="26C716A1" w14:textId="77777777" w:rsidR="00D02F13" w:rsidRPr="005C5F4C" w:rsidRDefault="00D02F13" w:rsidP="00D02F13">
      <w:pPr>
        <w:numPr>
          <w:ilvl w:val="0"/>
          <w:numId w:val="5"/>
        </w:numPr>
        <w:ind w:left="357" w:hanging="357"/>
        <w:contextualSpacing/>
        <w:rPr>
          <w:rFonts w:eastAsia="Calibri" w:cstheme="minorHAnsi"/>
          <w:szCs w:val="20"/>
        </w:rPr>
      </w:pPr>
      <w:r w:rsidRPr="005C5F4C">
        <w:rPr>
          <w:rFonts w:eastAsia="Calibri" w:cstheme="minorHAnsi"/>
          <w:szCs w:val="20"/>
        </w:rPr>
        <w:t>The system</w:t>
      </w:r>
      <w:r>
        <w:rPr>
          <w:rFonts w:eastAsia="Calibri" w:cstheme="minorHAnsi"/>
          <w:szCs w:val="20"/>
        </w:rPr>
        <w:t xml:space="preserve"> should</w:t>
      </w:r>
      <w:r w:rsidRPr="005C5F4C">
        <w:rPr>
          <w:rFonts w:eastAsia="Calibri" w:cstheme="minorHAnsi"/>
          <w:szCs w:val="20"/>
        </w:rPr>
        <w:t xml:space="preserve"> enable MFA and Danish CSOs to establish a ‘light and shade’ impression of </w:t>
      </w:r>
      <w:r>
        <w:rPr>
          <w:rFonts w:eastAsia="Calibri" w:cstheme="minorHAnsi"/>
          <w:szCs w:val="20"/>
        </w:rPr>
        <w:t xml:space="preserve">the number of </w:t>
      </w:r>
      <w:r w:rsidRPr="005C5F4C">
        <w:rPr>
          <w:rFonts w:eastAsia="Calibri" w:cstheme="minorHAnsi"/>
          <w:szCs w:val="20"/>
        </w:rPr>
        <w:t>case</w:t>
      </w:r>
      <w:r>
        <w:rPr>
          <w:rFonts w:eastAsia="Calibri" w:cstheme="minorHAnsi"/>
          <w:szCs w:val="20"/>
        </w:rPr>
        <w:t xml:space="preserve"> studies</w:t>
      </w:r>
      <w:r w:rsidRPr="005C5F4C">
        <w:rPr>
          <w:rFonts w:eastAsia="Calibri" w:cstheme="minorHAnsi"/>
          <w:szCs w:val="20"/>
        </w:rPr>
        <w:t xml:space="preserve"> against key criteria</w:t>
      </w:r>
      <w:r>
        <w:rPr>
          <w:rFonts w:eastAsia="Calibri" w:cstheme="minorHAnsi"/>
          <w:szCs w:val="20"/>
        </w:rPr>
        <w:t>,</w:t>
      </w:r>
      <w:r w:rsidRPr="005C5F4C">
        <w:rPr>
          <w:rFonts w:eastAsia="Calibri" w:cstheme="minorHAnsi"/>
          <w:szCs w:val="20"/>
        </w:rPr>
        <w:t xml:space="preserve"> such as geography and sector. For example, it will be possible to see how far SPA partners feel their work is addressing key issues from the overall MFA Strategy, such as climate change and migration.</w:t>
      </w:r>
    </w:p>
    <w:p w14:paraId="3EBBE598" w14:textId="592801BB" w:rsidR="00D02F13" w:rsidRPr="005C5F4C" w:rsidRDefault="00D02F13" w:rsidP="00D02F13">
      <w:pPr>
        <w:numPr>
          <w:ilvl w:val="0"/>
          <w:numId w:val="5"/>
        </w:numPr>
        <w:ind w:left="357" w:hanging="357"/>
        <w:contextualSpacing/>
        <w:rPr>
          <w:rFonts w:eastAsia="Calibri" w:cstheme="minorHAnsi"/>
          <w:szCs w:val="20"/>
        </w:rPr>
      </w:pPr>
      <w:r w:rsidRPr="005C5F4C">
        <w:rPr>
          <w:rFonts w:eastAsia="Calibri" w:cstheme="minorHAnsi"/>
          <w:szCs w:val="20"/>
        </w:rPr>
        <w:t xml:space="preserve">Case studies produced through the system </w:t>
      </w:r>
      <w:r w:rsidR="001E50C0">
        <w:rPr>
          <w:rFonts w:eastAsia="Calibri" w:cstheme="minorHAnsi"/>
          <w:szCs w:val="20"/>
        </w:rPr>
        <w:t xml:space="preserve">should be based on clear evidence that provides plausible linkages between acitivities and outcomes. As part of reviewing cases, they </w:t>
      </w:r>
      <w:r w:rsidRPr="005C5F4C">
        <w:rPr>
          <w:rFonts w:eastAsia="Calibri" w:cstheme="minorHAnsi"/>
          <w:szCs w:val="20"/>
        </w:rPr>
        <w:t>c</w:t>
      </w:r>
      <w:r>
        <w:rPr>
          <w:rFonts w:eastAsia="Calibri" w:cstheme="minorHAnsi"/>
          <w:szCs w:val="20"/>
        </w:rPr>
        <w:t>ould</w:t>
      </w:r>
      <w:r w:rsidRPr="005C5F4C">
        <w:rPr>
          <w:rFonts w:eastAsia="Calibri" w:cstheme="minorHAnsi"/>
          <w:szCs w:val="20"/>
        </w:rPr>
        <w:t xml:space="preserve"> easily be shared with other organisations to enhance mutual learning. For example, in a recently conducted evaluation</w:t>
      </w:r>
      <w:r>
        <w:rPr>
          <w:rFonts w:eastAsia="Calibri" w:cstheme="minorHAnsi"/>
          <w:szCs w:val="20"/>
        </w:rPr>
        <w:t>,</w:t>
      </w:r>
      <w:r w:rsidRPr="005C5F4C">
        <w:rPr>
          <w:rFonts w:eastAsia="Calibri" w:cstheme="minorHAnsi"/>
          <w:szCs w:val="20"/>
        </w:rPr>
        <w:t xml:space="preserve"> two SPA partners </w:t>
      </w:r>
      <w:r>
        <w:rPr>
          <w:rFonts w:eastAsia="Calibri" w:cstheme="minorHAnsi"/>
          <w:szCs w:val="20"/>
        </w:rPr>
        <w:t xml:space="preserve">had developed case studies around support to refugee-led organisations, but </w:t>
      </w:r>
      <w:r w:rsidRPr="005C5F4C">
        <w:rPr>
          <w:rFonts w:eastAsia="Calibri" w:cstheme="minorHAnsi"/>
          <w:szCs w:val="20"/>
        </w:rPr>
        <w:t>were unaware of the work the other was doing</w:t>
      </w:r>
      <w:r>
        <w:rPr>
          <w:rFonts w:eastAsia="Calibri" w:cstheme="minorHAnsi"/>
          <w:szCs w:val="20"/>
        </w:rPr>
        <w:t>. Swapping the case studies consequently generated some interesting discussions.</w:t>
      </w:r>
    </w:p>
    <w:p w14:paraId="4963E085" w14:textId="77777777" w:rsidR="00D02F13" w:rsidRDefault="00D02F13" w:rsidP="00D02F13">
      <w:pPr>
        <w:numPr>
          <w:ilvl w:val="0"/>
          <w:numId w:val="5"/>
        </w:numPr>
        <w:ind w:left="357" w:hanging="357"/>
        <w:rPr>
          <w:rFonts w:eastAsia="Calibri" w:cstheme="minorHAnsi"/>
          <w:szCs w:val="20"/>
        </w:rPr>
      </w:pPr>
      <w:r w:rsidRPr="005C5F4C">
        <w:rPr>
          <w:rFonts w:eastAsia="Calibri" w:cstheme="minorHAnsi"/>
          <w:szCs w:val="20"/>
        </w:rPr>
        <w:t>MFA aims to develop and pursue learning questions as part of the wider portfolio-based system, and this should also contribute to wider learning.</w:t>
      </w:r>
    </w:p>
    <w:p w14:paraId="2B83B69E" w14:textId="621201EB" w:rsidR="005C5F4C" w:rsidRPr="00403F10" w:rsidRDefault="00403F10" w:rsidP="00C5341D">
      <w:pPr>
        <w:pStyle w:val="Heading2"/>
        <w:spacing w:before="0" w:after="0" w:line="240" w:lineRule="auto"/>
        <w:rPr>
          <w:rFonts w:eastAsia="Calibri"/>
          <w:color w:val="35463E" w:themeColor="accent6" w:themeShade="80"/>
          <w:sz w:val="24"/>
          <w:szCs w:val="24"/>
        </w:rPr>
      </w:pPr>
      <w:r w:rsidRPr="00403F10">
        <w:rPr>
          <w:rFonts w:eastAsia="Calibri"/>
          <w:color w:val="35463E" w:themeColor="accent6" w:themeShade="80"/>
          <w:sz w:val="24"/>
          <w:szCs w:val="24"/>
        </w:rPr>
        <w:t>How is the SPRS designed to work?</w:t>
      </w:r>
    </w:p>
    <w:p w14:paraId="6E50A884" w14:textId="3BBEE6C9" w:rsidR="005C5F4C" w:rsidRPr="005C5F4C" w:rsidRDefault="00403F10" w:rsidP="000B623A">
      <w:pPr>
        <w:contextualSpacing/>
        <w:rPr>
          <w:rFonts w:eastAsia="Calibri" w:cstheme="minorHAnsi"/>
          <w:szCs w:val="20"/>
        </w:rPr>
      </w:pPr>
      <w:r>
        <w:rPr>
          <w:rFonts w:eastAsia="Calibri" w:cstheme="minorHAnsi"/>
          <w:szCs w:val="20"/>
        </w:rPr>
        <w:t>The new SPRS is based around five key features</w:t>
      </w:r>
      <w:r w:rsidR="005C5F4C" w:rsidRPr="005C5F4C">
        <w:rPr>
          <w:rFonts w:eastAsia="Calibri" w:cstheme="minorHAnsi"/>
          <w:szCs w:val="20"/>
        </w:rPr>
        <w:t>:</w:t>
      </w:r>
    </w:p>
    <w:p w14:paraId="52E258E7" w14:textId="554F0E01" w:rsidR="005C5F4C" w:rsidRPr="005C5F4C" w:rsidRDefault="005C5F4C" w:rsidP="00DC27EC">
      <w:pPr>
        <w:numPr>
          <w:ilvl w:val="0"/>
          <w:numId w:val="6"/>
        </w:numPr>
        <w:spacing w:after="120"/>
        <w:ind w:left="714" w:hanging="357"/>
        <w:contextualSpacing/>
        <w:rPr>
          <w:rFonts w:eastAsia="Calibri" w:cstheme="minorHAnsi"/>
          <w:szCs w:val="20"/>
        </w:rPr>
      </w:pPr>
      <w:bookmarkStart w:id="0" w:name="_Hlk103416874"/>
      <w:r w:rsidRPr="005C5F4C">
        <w:rPr>
          <w:rFonts w:eastAsia="Calibri" w:cstheme="minorHAnsi"/>
          <w:szCs w:val="20"/>
        </w:rPr>
        <w:t>the development of regular, purposefully sampled, high-quality case studies</w:t>
      </w:r>
      <w:r w:rsidR="00C5341D">
        <w:rPr>
          <w:rFonts w:eastAsia="Calibri" w:cstheme="minorHAnsi"/>
          <w:szCs w:val="20"/>
        </w:rPr>
        <w:t xml:space="preserve">, mapped onto a set of </w:t>
      </w:r>
      <w:r w:rsidR="004D774A">
        <w:rPr>
          <w:rFonts w:eastAsia="Calibri" w:cstheme="minorHAnsi"/>
          <w:szCs w:val="20"/>
        </w:rPr>
        <w:t>domain</w:t>
      </w:r>
      <w:r w:rsidR="00C5341D">
        <w:rPr>
          <w:rFonts w:eastAsia="Calibri" w:cstheme="minorHAnsi"/>
          <w:szCs w:val="20"/>
        </w:rPr>
        <w:t>s of change;</w:t>
      </w:r>
      <w:bookmarkEnd w:id="0"/>
    </w:p>
    <w:p w14:paraId="69AAA7E0" w14:textId="77777777" w:rsidR="005C5F4C" w:rsidRPr="005C5F4C" w:rsidRDefault="005C5F4C" w:rsidP="00DC27EC">
      <w:pPr>
        <w:numPr>
          <w:ilvl w:val="0"/>
          <w:numId w:val="7"/>
        </w:numPr>
        <w:ind w:left="714" w:hanging="357"/>
        <w:contextualSpacing/>
        <w:rPr>
          <w:rFonts w:eastAsia="Calibri" w:cstheme="minorHAnsi"/>
          <w:szCs w:val="20"/>
        </w:rPr>
      </w:pPr>
      <w:r w:rsidRPr="005C5F4C">
        <w:rPr>
          <w:rFonts w:eastAsia="Calibri" w:cstheme="minorHAnsi"/>
          <w:szCs w:val="20"/>
        </w:rPr>
        <w:t>two output indicators designed to provide a sense of scale;</w:t>
      </w:r>
    </w:p>
    <w:p w14:paraId="52F71EE8" w14:textId="77777777" w:rsidR="005C5F4C" w:rsidRPr="005C5F4C" w:rsidRDefault="005C5F4C" w:rsidP="00DC27EC">
      <w:pPr>
        <w:numPr>
          <w:ilvl w:val="0"/>
          <w:numId w:val="7"/>
        </w:numPr>
        <w:ind w:left="714" w:hanging="357"/>
        <w:contextualSpacing/>
        <w:rPr>
          <w:rFonts w:eastAsia="Calibri" w:cstheme="minorHAnsi"/>
          <w:szCs w:val="20"/>
        </w:rPr>
      </w:pPr>
      <w:r w:rsidRPr="005C5F4C">
        <w:rPr>
          <w:rFonts w:eastAsia="Calibri" w:cstheme="minorHAnsi"/>
          <w:szCs w:val="20"/>
        </w:rPr>
        <w:t>more consistent annual reporting formats;</w:t>
      </w:r>
    </w:p>
    <w:p w14:paraId="6D697EA6" w14:textId="77777777" w:rsidR="005C5F4C" w:rsidRPr="005C5F4C" w:rsidRDefault="005C5F4C" w:rsidP="00DC27EC">
      <w:pPr>
        <w:numPr>
          <w:ilvl w:val="0"/>
          <w:numId w:val="7"/>
        </w:numPr>
        <w:ind w:left="714" w:hanging="357"/>
        <w:contextualSpacing/>
        <w:rPr>
          <w:rFonts w:eastAsia="Calibri" w:cstheme="minorHAnsi"/>
          <w:szCs w:val="20"/>
        </w:rPr>
      </w:pPr>
      <w:r w:rsidRPr="005C5F4C">
        <w:rPr>
          <w:rFonts w:eastAsia="Calibri" w:cstheme="minorHAnsi"/>
          <w:szCs w:val="20"/>
        </w:rPr>
        <w:t>joint learning / evaluation questions; and</w:t>
      </w:r>
    </w:p>
    <w:p w14:paraId="032C9461" w14:textId="7CBB3D42" w:rsidR="005C5F4C" w:rsidRDefault="005C5F4C" w:rsidP="00DC27EC">
      <w:pPr>
        <w:numPr>
          <w:ilvl w:val="0"/>
          <w:numId w:val="7"/>
        </w:numPr>
        <w:spacing w:after="120"/>
        <w:ind w:left="714" w:hanging="357"/>
        <w:rPr>
          <w:rFonts w:eastAsia="Calibri" w:cstheme="minorHAnsi"/>
          <w:szCs w:val="20"/>
        </w:rPr>
      </w:pPr>
      <w:r w:rsidRPr="005C5F4C">
        <w:rPr>
          <w:rFonts w:eastAsia="Calibri" w:cstheme="minorHAnsi"/>
          <w:szCs w:val="20"/>
        </w:rPr>
        <w:t>a Southern partner survey (or set of surveys).</w:t>
      </w:r>
    </w:p>
    <w:p w14:paraId="35A531D8" w14:textId="2FAFD760" w:rsidR="00C5341D" w:rsidRDefault="00C5341D" w:rsidP="005B75AC">
      <w:pPr>
        <w:spacing w:after="120"/>
        <w:rPr>
          <w:rFonts w:eastAsia="Calibri" w:cstheme="minorHAnsi"/>
          <w:szCs w:val="20"/>
        </w:rPr>
      </w:pPr>
      <w:r>
        <w:rPr>
          <w:rFonts w:eastAsia="Calibri" w:cstheme="minorHAnsi"/>
          <w:szCs w:val="20"/>
        </w:rPr>
        <w:t>These guidelines only deal with the first two of these features – the case studies and the output indicators. There are separate, more detailed guidelines for developing the case studies and reporting on the output indicators.</w:t>
      </w:r>
      <w:r w:rsidR="005C1690">
        <w:rPr>
          <w:rFonts w:eastAsia="Calibri" w:cstheme="minorHAnsi"/>
          <w:szCs w:val="20"/>
        </w:rPr>
        <w:t xml:space="preserve"> </w:t>
      </w:r>
    </w:p>
    <w:p w14:paraId="1D70626B" w14:textId="77777777" w:rsidR="00BA3F43" w:rsidRDefault="00BA3F43" w:rsidP="005B75AC">
      <w:pPr>
        <w:spacing w:after="120"/>
        <w:rPr>
          <w:rFonts w:eastAsia="Calibri" w:cstheme="minorHAnsi"/>
          <w:szCs w:val="20"/>
        </w:rPr>
      </w:pPr>
    </w:p>
    <w:p w14:paraId="3AB0B5A7" w14:textId="2218552F" w:rsidR="00C5341D" w:rsidRPr="006D2679" w:rsidRDefault="00C5341D" w:rsidP="005B75AC">
      <w:pPr>
        <w:spacing w:after="120"/>
        <w:rPr>
          <w:b/>
          <w:bCs/>
          <w:sz w:val="36"/>
          <w:szCs w:val="36"/>
        </w:rPr>
      </w:pPr>
      <w:bookmarkStart w:id="1" w:name="_Hlk103242651"/>
      <w:r>
        <w:rPr>
          <w:b/>
          <w:bCs/>
          <w:sz w:val="36"/>
          <w:szCs w:val="36"/>
        </w:rPr>
        <w:lastRenderedPageBreak/>
        <w:t>The case studies</w:t>
      </w:r>
    </w:p>
    <w:p w14:paraId="571A2C25" w14:textId="0589F79B" w:rsidR="00C5341D" w:rsidRPr="00C5341D" w:rsidRDefault="00C5341D" w:rsidP="0082394B">
      <w:pPr>
        <w:rPr>
          <w:rFonts w:eastAsia="Calibri" w:cstheme="minorHAnsi"/>
          <w:szCs w:val="20"/>
        </w:rPr>
      </w:pPr>
      <w:r>
        <w:rPr>
          <w:rFonts w:eastAsia="Calibri" w:cstheme="minorHAnsi"/>
          <w:szCs w:val="20"/>
        </w:rPr>
        <w:t xml:space="preserve">SPA partners </w:t>
      </w:r>
      <w:r w:rsidR="00C14EC0">
        <w:rPr>
          <w:rFonts w:eastAsia="Calibri" w:cstheme="minorHAnsi"/>
          <w:szCs w:val="20"/>
        </w:rPr>
        <w:t>publish at least</w:t>
      </w:r>
      <w:r>
        <w:rPr>
          <w:rFonts w:eastAsia="Calibri" w:cstheme="minorHAnsi"/>
          <w:szCs w:val="20"/>
        </w:rPr>
        <w:t xml:space="preserve"> three case studies annually. </w:t>
      </w:r>
      <w:r w:rsidR="00C20CDB">
        <w:rPr>
          <w:rFonts w:eastAsia="Calibri" w:cstheme="minorHAnsi"/>
          <w:szCs w:val="20"/>
        </w:rPr>
        <w:t>Each</w:t>
      </w:r>
      <w:r>
        <w:rPr>
          <w:rFonts w:eastAsia="Calibri" w:cstheme="minorHAnsi"/>
          <w:szCs w:val="20"/>
        </w:rPr>
        <w:t xml:space="preserve"> </w:t>
      </w:r>
      <w:r w:rsidR="00C14EC0">
        <w:rPr>
          <w:rFonts w:eastAsia="Calibri" w:cstheme="minorHAnsi"/>
          <w:szCs w:val="20"/>
        </w:rPr>
        <w:t>of these must be</w:t>
      </w:r>
      <w:r>
        <w:rPr>
          <w:rFonts w:eastAsia="Calibri" w:cstheme="minorHAnsi"/>
          <w:szCs w:val="20"/>
        </w:rPr>
        <w:t xml:space="preserve"> mapped to at least one of a set of </w:t>
      </w:r>
      <w:r w:rsidR="004D774A">
        <w:rPr>
          <w:rFonts w:eastAsia="Calibri" w:cstheme="minorHAnsi"/>
          <w:szCs w:val="20"/>
        </w:rPr>
        <w:t>domain</w:t>
      </w:r>
      <w:r>
        <w:rPr>
          <w:rFonts w:eastAsia="Calibri" w:cstheme="minorHAnsi"/>
          <w:szCs w:val="20"/>
        </w:rPr>
        <w:t xml:space="preserve">s </w:t>
      </w:r>
      <w:bookmarkEnd w:id="1"/>
      <w:r>
        <w:rPr>
          <w:rFonts w:eastAsia="Calibri" w:cstheme="minorHAnsi"/>
          <w:szCs w:val="20"/>
        </w:rPr>
        <w:t>of change</w:t>
      </w:r>
      <w:r w:rsidR="00C20CDB">
        <w:rPr>
          <w:rFonts w:eastAsia="Calibri" w:cstheme="minorHAnsi"/>
          <w:szCs w:val="20"/>
        </w:rPr>
        <w:t xml:space="preserve"> and at le</w:t>
      </w:r>
      <w:r w:rsidR="00C14EC0">
        <w:rPr>
          <w:rFonts w:eastAsia="Calibri" w:cstheme="minorHAnsi"/>
          <w:szCs w:val="20"/>
        </w:rPr>
        <w:t>ast one of the funded</w:t>
      </w:r>
      <w:r w:rsidR="00C20CDB">
        <w:rPr>
          <w:rFonts w:eastAsia="Calibri" w:cstheme="minorHAnsi"/>
          <w:szCs w:val="20"/>
        </w:rPr>
        <w:t xml:space="preserve"> activities</w:t>
      </w:r>
      <w:r>
        <w:rPr>
          <w:rFonts w:eastAsia="Calibri" w:cstheme="minorHAnsi"/>
          <w:szCs w:val="20"/>
        </w:rPr>
        <w:t xml:space="preserve">, which will enable the case studies to be retrieved by users according to </w:t>
      </w:r>
      <w:r w:rsidR="00C14EC0">
        <w:rPr>
          <w:rFonts w:eastAsia="Calibri" w:cstheme="minorHAnsi"/>
          <w:szCs w:val="20"/>
        </w:rPr>
        <w:t>standardised</w:t>
      </w:r>
      <w:r>
        <w:rPr>
          <w:rFonts w:eastAsia="Calibri" w:cstheme="minorHAnsi"/>
          <w:szCs w:val="20"/>
        </w:rPr>
        <w:t xml:space="preserve"> criteria.</w:t>
      </w:r>
      <w:r w:rsidR="00C14EC0">
        <w:rPr>
          <w:rFonts w:eastAsia="Calibri" w:cstheme="minorHAnsi"/>
          <w:szCs w:val="20"/>
        </w:rPr>
        <w:t>,</w:t>
      </w:r>
    </w:p>
    <w:p w14:paraId="5DD665EC" w14:textId="072D34D0" w:rsidR="00C5341D" w:rsidRPr="00C5341D" w:rsidRDefault="00C5341D" w:rsidP="0082394B">
      <w:pPr>
        <w:spacing w:after="0"/>
        <w:rPr>
          <w:rFonts w:eastAsia="Calibri" w:cstheme="minorHAnsi"/>
          <w:b/>
          <w:bCs/>
          <w:i/>
          <w:iCs/>
          <w:color w:val="35463E" w:themeColor="accent6" w:themeShade="80"/>
          <w:sz w:val="24"/>
          <w:szCs w:val="24"/>
        </w:rPr>
      </w:pPr>
      <w:r w:rsidRPr="00C5341D">
        <w:rPr>
          <w:rFonts w:eastAsia="Calibri" w:cstheme="minorHAnsi"/>
          <w:b/>
          <w:bCs/>
          <w:i/>
          <w:iCs/>
          <w:color w:val="35463E" w:themeColor="accent6" w:themeShade="80"/>
          <w:sz w:val="24"/>
          <w:szCs w:val="24"/>
        </w:rPr>
        <w:t xml:space="preserve">What are the </w:t>
      </w:r>
      <w:r w:rsidR="004D774A">
        <w:rPr>
          <w:rFonts w:eastAsia="Calibri" w:cstheme="minorHAnsi"/>
          <w:b/>
          <w:bCs/>
          <w:i/>
          <w:iCs/>
          <w:color w:val="35463E" w:themeColor="accent6" w:themeShade="80"/>
          <w:sz w:val="24"/>
          <w:szCs w:val="24"/>
        </w:rPr>
        <w:t>domain</w:t>
      </w:r>
      <w:r w:rsidRPr="00C5341D">
        <w:rPr>
          <w:rFonts w:eastAsia="Calibri" w:cstheme="minorHAnsi"/>
          <w:b/>
          <w:bCs/>
          <w:i/>
          <w:iCs/>
          <w:color w:val="35463E" w:themeColor="accent6" w:themeShade="80"/>
          <w:sz w:val="24"/>
          <w:szCs w:val="24"/>
        </w:rPr>
        <w:t>s of change?</w:t>
      </w:r>
    </w:p>
    <w:p w14:paraId="15AF5341" w14:textId="20FE10D8" w:rsidR="0082394B" w:rsidRDefault="004D774A" w:rsidP="0082394B">
      <w:pPr>
        <w:spacing w:after="120"/>
        <w:rPr>
          <w:rFonts w:eastAsia="Calibri" w:cstheme="majorBidi"/>
          <w:bCs/>
          <w:iCs/>
          <w:szCs w:val="20"/>
        </w:rPr>
      </w:pPr>
      <w:r>
        <w:rPr>
          <w:rFonts w:eastAsia="Calibri" w:cstheme="majorBidi"/>
          <w:bCs/>
          <w:iCs/>
          <w:szCs w:val="20"/>
        </w:rPr>
        <w:t>Domains</w:t>
      </w:r>
      <w:r w:rsidR="0082394B">
        <w:rPr>
          <w:rFonts w:eastAsia="Calibri" w:cstheme="majorBidi"/>
          <w:bCs/>
          <w:iCs/>
          <w:szCs w:val="20"/>
        </w:rPr>
        <w:t xml:space="preserve"> </w:t>
      </w:r>
      <w:r w:rsidR="0082394B" w:rsidRPr="0082394B">
        <w:rPr>
          <w:rFonts w:eastAsia="Calibri" w:cstheme="majorBidi"/>
          <w:bCs/>
          <w:iCs/>
          <w:szCs w:val="20"/>
        </w:rPr>
        <w:t xml:space="preserve">of change are broad areas of change to which different levels of an </w:t>
      </w:r>
      <w:r w:rsidR="0082394B">
        <w:rPr>
          <w:rFonts w:eastAsia="Calibri" w:cstheme="majorBidi"/>
          <w:bCs/>
          <w:iCs/>
          <w:szCs w:val="20"/>
        </w:rPr>
        <w:t xml:space="preserve">organisation </w:t>
      </w:r>
      <w:r w:rsidR="00BA3F43">
        <w:rPr>
          <w:rFonts w:eastAsia="Calibri" w:cstheme="majorBidi"/>
          <w:bCs/>
          <w:iCs/>
          <w:szCs w:val="20"/>
        </w:rPr>
        <w:t>or</w:t>
      </w:r>
      <w:r w:rsidR="0082394B">
        <w:rPr>
          <w:rFonts w:eastAsia="Calibri" w:cstheme="majorBidi"/>
          <w:bCs/>
          <w:iCs/>
          <w:szCs w:val="20"/>
        </w:rPr>
        <w:t xml:space="preserve"> donor</w:t>
      </w:r>
      <w:r w:rsidR="0082394B" w:rsidRPr="0082394B">
        <w:rPr>
          <w:rFonts w:eastAsia="Calibri" w:cstheme="majorBidi"/>
          <w:bCs/>
          <w:iCs/>
          <w:szCs w:val="20"/>
        </w:rPr>
        <w:t xml:space="preserve"> are expected to contribute. The </w:t>
      </w:r>
      <w:r>
        <w:rPr>
          <w:rFonts w:eastAsia="Calibri" w:cstheme="majorBidi"/>
          <w:bCs/>
          <w:iCs/>
          <w:szCs w:val="20"/>
        </w:rPr>
        <w:t>domain</w:t>
      </w:r>
      <w:r w:rsidR="0082394B" w:rsidRPr="0082394B">
        <w:rPr>
          <w:rFonts w:eastAsia="Calibri" w:cstheme="majorBidi"/>
          <w:bCs/>
          <w:iCs/>
          <w:szCs w:val="20"/>
        </w:rPr>
        <w:t>s are broad and generic, as they are designed to be applied in very different contexts and at different levels.</w:t>
      </w:r>
    </w:p>
    <w:p w14:paraId="470CBBE1" w14:textId="0859BB57" w:rsidR="000F6DDE" w:rsidRDefault="0082394B" w:rsidP="00BB7DED">
      <w:pPr>
        <w:spacing w:after="0"/>
        <w:rPr>
          <w:rFonts w:eastAsia="Calibri" w:cstheme="minorHAnsi"/>
          <w:szCs w:val="20"/>
        </w:rPr>
      </w:pPr>
      <w:r w:rsidRPr="0082394B">
        <w:rPr>
          <w:rFonts w:eastAsia="Calibri" w:cstheme="majorBidi"/>
          <w:bCs/>
          <w:iCs/>
          <w:szCs w:val="20"/>
        </w:rPr>
        <w:t>The</w:t>
      </w:r>
      <w:r w:rsidR="005C5F4C" w:rsidRPr="0082394B">
        <w:rPr>
          <w:rFonts w:eastAsia="Calibri" w:cstheme="minorHAnsi"/>
          <w:bCs/>
          <w:iCs/>
          <w:szCs w:val="20"/>
        </w:rPr>
        <w:t xml:space="preserve"> </w:t>
      </w:r>
      <w:r w:rsidR="004D774A">
        <w:rPr>
          <w:rFonts w:eastAsia="Calibri" w:cstheme="minorHAnsi"/>
          <w:bCs/>
          <w:iCs/>
          <w:szCs w:val="20"/>
        </w:rPr>
        <w:t>domain</w:t>
      </w:r>
      <w:r>
        <w:rPr>
          <w:rFonts w:eastAsia="Calibri" w:cstheme="minorHAnsi"/>
          <w:bCs/>
          <w:iCs/>
          <w:szCs w:val="20"/>
        </w:rPr>
        <w:t>s developed for the SPRS are based</w:t>
      </w:r>
      <w:r w:rsidR="005C5F4C" w:rsidRPr="0082394B">
        <w:rPr>
          <w:rFonts w:eastAsia="Calibri" w:cstheme="minorHAnsi"/>
          <w:bCs/>
          <w:iCs/>
          <w:szCs w:val="20"/>
        </w:rPr>
        <w:t xml:space="preserve"> around three key areas that have long been the focus of Danish CSOs’ work – policy influencing, capacity</w:t>
      </w:r>
      <w:r w:rsidR="005C5F4C" w:rsidRPr="0082394B">
        <w:rPr>
          <w:rFonts w:eastAsia="Calibri" w:cstheme="minorHAnsi"/>
          <w:szCs w:val="20"/>
        </w:rPr>
        <w:t xml:space="preserve"> </w:t>
      </w:r>
      <w:r w:rsidR="005C5F4C" w:rsidRPr="005C5F4C">
        <w:rPr>
          <w:rFonts w:eastAsia="Calibri" w:cstheme="minorHAnsi"/>
          <w:szCs w:val="20"/>
        </w:rPr>
        <w:t xml:space="preserve">development and partnerships – supplemented by participation and local leadership. These five </w:t>
      </w:r>
      <w:r w:rsidR="004D774A">
        <w:rPr>
          <w:rFonts w:eastAsia="Calibri" w:cstheme="minorHAnsi"/>
          <w:szCs w:val="20"/>
        </w:rPr>
        <w:t>domain</w:t>
      </w:r>
      <w:r w:rsidR="005C5F4C" w:rsidRPr="005C5F4C">
        <w:rPr>
          <w:rFonts w:eastAsia="Calibri" w:cstheme="minorHAnsi"/>
          <w:szCs w:val="20"/>
        </w:rPr>
        <w:t xml:space="preserve">s all contribute to a </w:t>
      </w:r>
      <w:r w:rsidR="004D774A">
        <w:rPr>
          <w:rFonts w:eastAsia="Calibri" w:cstheme="minorHAnsi"/>
          <w:szCs w:val="20"/>
        </w:rPr>
        <w:t>domain</w:t>
      </w:r>
      <w:r w:rsidR="005C5F4C" w:rsidRPr="005C5F4C">
        <w:rPr>
          <w:rFonts w:eastAsia="Calibri" w:cstheme="minorHAnsi"/>
          <w:szCs w:val="20"/>
        </w:rPr>
        <w:t xml:space="preserve"> covering changes in peoples’ lives. </w:t>
      </w:r>
      <w:r w:rsidR="000F6DDE">
        <w:rPr>
          <w:rFonts w:eastAsia="Calibri" w:cstheme="minorHAnsi"/>
          <w:szCs w:val="20"/>
        </w:rPr>
        <w:t>The domains are:</w:t>
      </w:r>
    </w:p>
    <w:p w14:paraId="76992426" w14:textId="77777777" w:rsidR="000F6DDE" w:rsidRPr="005C5F4C" w:rsidRDefault="000F6DDE" w:rsidP="000F6DDE">
      <w:pPr>
        <w:numPr>
          <w:ilvl w:val="0"/>
          <w:numId w:val="8"/>
        </w:numPr>
        <w:spacing w:after="0"/>
        <w:contextualSpacing/>
        <w:rPr>
          <w:rFonts w:eastAsia="Calibri" w:cstheme="minorHAnsi"/>
          <w:szCs w:val="20"/>
        </w:rPr>
      </w:pPr>
      <w:r w:rsidRPr="003E2DF3">
        <w:rPr>
          <w:rFonts w:eastAsia="Calibri" w:cstheme="minorHAnsi"/>
          <w:szCs w:val="20"/>
        </w:rPr>
        <w:t xml:space="preserve">Changes in the </w:t>
      </w:r>
      <w:r w:rsidRPr="00214ADE">
        <w:rPr>
          <w:rFonts w:eastAsia="Calibri" w:cstheme="minorHAnsi"/>
          <w:b/>
          <w:bCs/>
          <w:szCs w:val="20"/>
        </w:rPr>
        <w:t>lives</w:t>
      </w:r>
      <w:r w:rsidRPr="003E2DF3">
        <w:rPr>
          <w:rFonts w:eastAsia="Calibri" w:cstheme="minorHAnsi"/>
          <w:szCs w:val="20"/>
        </w:rPr>
        <w:t xml:space="preserve"> of people facing poverty, marginalisation or vulnerability, and/or the realisation of their </w:t>
      </w:r>
      <w:r w:rsidRPr="00214ADE">
        <w:rPr>
          <w:rFonts w:eastAsia="Calibri" w:cstheme="minorHAnsi"/>
          <w:szCs w:val="20"/>
        </w:rPr>
        <w:t>rights</w:t>
      </w:r>
      <w:r>
        <w:rPr>
          <w:rFonts w:eastAsia="Calibri" w:cstheme="minorHAnsi"/>
          <w:szCs w:val="20"/>
        </w:rPr>
        <w:t>;</w:t>
      </w:r>
      <w:r w:rsidRPr="005C5F4C">
        <w:rPr>
          <w:rFonts w:eastAsia="Calibri" w:cstheme="minorHAnsi"/>
          <w:szCs w:val="20"/>
          <w:vertAlign w:val="superscript"/>
        </w:rPr>
        <w:footnoteReference w:id="2"/>
      </w:r>
    </w:p>
    <w:p w14:paraId="6C0CAFAD" w14:textId="77777777" w:rsidR="000F6DDE" w:rsidRPr="005C5F4C" w:rsidRDefault="000F6DDE" w:rsidP="000F6DDE">
      <w:pPr>
        <w:numPr>
          <w:ilvl w:val="0"/>
          <w:numId w:val="8"/>
        </w:numPr>
        <w:spacing w:after="0"/>
        <w:contextualSpacing/>
        <w:rPr>
          <w:rFonts w:eastAsia="Calibri" w:cstheme="minorHAnsi"/>
          <w:szCs w:val="20"/>
        </w:rPr>
      </w:pPr>
      <w:r w:rsidRPr="00C74D2C">
        <w:rPr>
          <w:rFonts w:eastAsia="Calibri" w:cstheme="minorHAnsi"/>
          <w:szCs w:val="20"/>
        </w:rPr>
        <w:t xml:space="preserve">Changes in laws, </w:t>
      </w:r>
      <w:r w:rsidRPr="00C74D2C">
        <w:rPr>
          <w:rFonts w:eastAsia="Calibri" w:cstheme="minorHAnsi"/>
          <w:b/>
          <w:bCs/>
          <w:szCs w:val="20"/>
        </w:rPr>
        <w:t>policies</w:t>
      </w:r>
      <w:r w:rsidRPr="00C74D2C">
        <w:rPr>
          <w:rFonts w:eastAsia="Calibri" w:cstheme="minorHAnsi"/>
          <w:szCs w:val="20"/>
        </w:rPr>
        <w:t xml:space="preserve"> and practices that affect people’s rights</w:t>
      </w:r>
      <w:r>
        <w:rPr>
          <w:rFonts w:eastAsia="Calibri" w:cstheme="minorHAnsi"/>
          <w:szCs w:val="20"/>
        </w:rPr>
        <w:t>;</w:t>
      </w:r>
    </w:p>
    <w:p w14:paraId="3DBC7303" w14:textId="77777777" w:rsidR="000F6DDE" w:rsidRPr="005C5F4C" w:rsidRDefault="000F6DDE" w:rsidP="000F6DDE">
      <w:pPr>
        <w:numPr>
          <w:ilvl w:val="0"/>
          <w:numId w:val="8"/>
        </w:numPr>
        <w:spacing w:after="0"/>
        <w:contextualSpacing/>
        <w:rPr>
          <w:rFonts w:eastAsia="Calibri" w:cstheme="minorHAnsi"/>
          <w:szCs w:val="20"/>
        </w:rPr>
      </w:pPr>
      <w:r w:rsidRPr="00C74D2C">
        <w:rPr>
          <w:rFonts w:eastAsia="Calibri" w:cstheme="minorHAnsi"/>
          <w:szCs w:val="20"/>
        </w:rPr>
        <w:t xml:space="preserve">Changes in the </w:t>
      </w:r>
      <w:r w:rsidRPr="00C74D2C">
        <w:rPr>
          <w:rFonts w:eastAsia="Calibri" w:cstheme="minorHAnsi"/>
          <w:b/>
          <w:bCs/>
          <w:szCs w:val="20"/>
        </w:rPr>
        <w:t>capacity</w:t>
      </w:r>
      <w:r w:rsidRPr="00C74D2C">
        <w:rPr>
          <w:rFonts w:eastAsia="Calibri" w:cstheme="minorHAnsi"/>
          <w:szCs w:val="20"/>
        </w:rPr>
        <w:t xml:space="preserve"> of organisations and communities to support people’s rights</w:t>
      </w:r>
      <w:r>
        <w:rPr>
          <w:rFonts w:eastAsia="Calibri" w:cstheme="minorHAnsi"/>
          <w:szCs w:val="20"/>
        </w:rPr>
        <w:t>;</w:t>
      </w:r>
    </w:p>
    <w:p w14:paraId="01951AFA" w14:textId="77777777" w:rsidR="000F6DDE" w:rsidRPr="005C5F4C" w:rsidRDefault="000F6DDE" w:rsidP="000F6DDE">
      <w:pPr>
        <w:numPr>
          <w:ilvl w:val="0"/>
          <w:numId w:val="8"/>
        </w:numPr>
        <w:spacing w:after="0"/>
        <w:contextualSpacing/>
        <w:rPr>
          <w:rFonts w:eastAsia="Calibri" w:cstheme="minorHAnsi"/>
          <w:szCs w:val="20"/>
        </w:rPr>
      </w:pPr>
      <w:r w:rsidRPr="00C74D2C">
        <w:rPr>
          <w:rFonts w:eastAsia="Calibri" w:cstheme="minorHAnsi"/>
          <w:szCs w:val="20"/>
        </w:rPr>
        <w:t xml:space="preserve">Changes in </w:t>
      </w:r>
      <w:r w:rsidRPr="00C74D2C">
        <w:rPr>
          <w:rFonts w:eastAsia="Calibri" w:cstheme="minorHAnsi"/>
          <w:b/>
          <w:bCs/>
          <w:szCs w:val="20"/>
        </w:rPr>
        <w:t>partnerships</w:t>
      </w:r>
      <w:r w:rsidRPr="00C74D2C">
        <w:rPr>
          <w:rFonts w:eastAsia="Calibri" w:cstheme="minorHAnsi"/>
          <w:szCs w:val="20"/>
        </w:rPr>
        <w:t xml:space="preserve"> and collaborations that support people’s rights</w:t>
      </w:r>
      <w:r>
        <w:rPr>
          <w:rFonts w:eastAsia="Calibri" w:cstheme="minorHAnsi"/>
          <w:szCs w:val="20"/>
        </w:rPr>
        <w:t>;</w:t>
      </w:r>
    </w:p>
    <w:p w14:paraId="503896FA" w14:textId="77777777" w:rsidR="000F6DDE" w:rsidRPr="005C5F4C" w:rsidRDefault="000F6DDE" w:rsidP="000F6DDE">
      <w:pPr>
        <w:numPr>
          <w:ilvl w:val="0"/>
          <w:numId w:val="8"/>
        </w:numPr>
        <w:spacing w:after="0"/>
        <w:contextualSpacing/>
        <w:rPr>
          <w:rFonts w:eastAsia="Calibri" w:cstheme="minorHAnsi"/>
          <w:szCs w:val="20"/>
        </w:rPr>
      </w:pPr>
      <w:r w:rsidRPr="00C74D2C">
        <w:rPr>
          <w:rFonts w:eastAsia="Calibri" w:cstheme="minorHAnsi"/>
          <w:szCs w:val="20"/>
        </w:rPr>
        <w:t xml:space="preserve">Changes in the </w:t>
      </w:r>
      <w:r w:rsidRPr="00C74D2C">
        <w:rPr>
          <w:rFonts w:eastAsia="Calibri" w:cstheme="minorHAnsi"/>
          <w:b/>
          <w:bCs/>
          <w:szCs w:val="20"/>
        </w:rPr>
        <w:t>participation</w:t>
      </w:r>
      <w:r w:rsidRPr="00C74D2C">
        <w:rPr>
          <w:rFonts w:eastAsia="Calibri" w:cstheme="minorHAnsi"/>
          <w:szCs w:val="20"/>
        </w:rPr>
        <w:t xml:space="preserve"> of groups facing poverty, marginalisation or vulnerability in their own development</w:t>
      </w:r>
      <w:r>
        <w:rPr>
          <w:rFonts w:eastAsia="Calibri" w:cstheme="minorHAnsi"/>
          <w:szCs w:val="20"/>
        </w:rPr>
        <w:t>; and</w:t>
      </w:r>
    </w:p>
    <w:p w14:paraId="2604CA77" w14:textId="77777777" w:rsidR="000F6DDE" w:rsidRPr="005C5F4C" w:rsidRDefault="000F6DDE" w:rsidP="000F6DDE">
      <w:pPr>
        <w:numPr>
          <w:ilvl w:val="0"/>
          <w:numId w:val="8"/>
        </w:numPr>
        <w:spacing w:after="120"/>
        <w:ind w:left="714" w:hanging="357"/>
        <w:rPr>
          <w:rFonts w:eastAsia="Calibri" w:cstheme="minorHAnsi"/>
          <w:szCs w:val="20"/>
        </w:rPr>
      </w:pPr>
      <w:r w:rsidRPr="00C74D2C">
        <w:rPr>
          <w:rFonts w:eastAsia="Calibri" w:cstheme="minorHAnsi"/>
          <w:szCs w:val="20"/>
        </w:rPr>
        <w:t xml:space="preserve">Changes in </w:t>
      </w:r>
      <w:r w:rsidRPr="00C74D2C">
        <w:rPr>
          <w:rFonts w:eastAsia="Calibri" w:cstheme="minorHAnsi"/>
          <w:b/>
          <w:bCs/>
          <w:szCs w:val="20"/>
        </w:rPr>
        <w:t>local leadership</w:t>
      </w:r>
      <w:r w:rsidRPr="00C74D2C">
        <w:rPr>
          <w:rFonts w:eastAsia="Calibri" w:cstheme="minorHAnsi"/>
          <w:szCs w:val="20"/>
        </w:rPr>
        <w:t xml:space="preserve"> and ownership of development and humanitarian work</w:t>
      </w:r>
      <w:r>
        <w:rPr>
          <w:rFonts w:eastAsia="Calibri" w:cstheme="minorHAnsi"/>
          <w:szCs w:val="20"/>
        </w:rPr>
        <w:t>.</w:t>
      </w:r>
    </w:p>
    <w:p w14:paraId="56E0F428" w14:textId="6B66BAA5" w:rsidR="005C5F4C" w:rsidRDefault="005C5F4C" w:rsidP="00BA3F43">
      <w:pPr>
        <w:spacing w:after="120"/>
        <w:rPr>
          <w:rFonts w:eastAsia="Calibri" w:cstheme="minorHAnsi"/>
          <w:szCs w:val="20"/>
        </w:rPr>
      </w:pPr>
      <w:r w:rsidRPr="005C5F4C">
        <w:rPr>
          <w:rFonts w:eastAsia="Calibri" w:cstheme="minorHAnsi"/>
          <w:szCs w:val="20"/>
        </w:rPr>
        <w:t xml:space="preserve">The </w:t>
      </w:r>
      <w:r w:rsidR="004D774A">
        <w:rPr>
          <w:rFonts w:eastAsia="Calibri" w:cstheme="minorHAnsi"/>
          <w:szCs w:val="20"/>
        </w:rPr>
        <w:t>domain</w:t>
      </w:r>
      <w:r w:rsidRPr="005C5F4C">
        <w:rPr>
          <w:rFonts w:eastAsia="Calibri" w:cstheme="minorHAnsi"/>
          <w:szCs w:val="20"/>
        </w:rPr>
        <w:t xml:space="preserve">s </w:t>
      </w:r>
      <w:r w:rsidR="00065FA5">
        <w:rPr>
          <w:rFonts w:eastAsia="Calibri" w:cstheme="minorHAnsi"/>
          <w:szCs w:val="20"/>
        </w:rPr>
        <w:t>are</w:t>
      </w:r>
      <w:r w:rsidRPr="005C5F4C">
        <w:rPr>
          <w:rFonts w:eastAsia="Calibri" w:cstheme="minorHAnsi"/>
          <w:szCs w:val="20"/>
        </w:rPr>
        <w:t xml:space="preserve"> configured as a diagram with five outer </w:t>
      </w:r>
      <w:r w:rsidR="004D774A">
        <w:rPr>
          <w:rFonts w:eastAsia="Calibri" w:cstheme="minorHAnsi"/>
          <w:szCs w:val="20"/>
        </w:rPr>
        <w:t>domain</w:t>
      </w:r>
      <w:r w:rsidRPr="005C5F4C">
        <w:rPr>
          <w:rFonts w:eastAsia="Calibri" w:cstheme="minorHAnsi"/>
          <w:szCs w:val="20"/>
        </w:rPr>
        <w:t xml:space="preserve">s, all interacting with one another, and all contributing to the central </w:t>
      </w:r>
      <w:r w:rsidR="004D774A">
        <w:rPr>
          <w:rFonts w:eastAsia="Calibri" w:cstheme="minorHAnsi"/>
          <w:szCs w:val="20"/>
        </w:rPr>
        <w:t>domain</w:t>
      </w:r>
      <w:r w:rsidRPr="005C5F4C">
        <w:rPr>
          <w:rFonts w:eastAsia="Calibri" w:cstheme="minorHAnsi"/>
          <w:szCs w:val="20"/>
        </w:rPr>
        <w:t>.</w:t>
      </w:r>
    </w:p>
    <w:p w14:paraId="0B4736E4" w14:textId="682AC961" w:rsidR="00065FA5" w:rsidRPr="00BB0E7C" w:rsidRDefault="008F036A" w:rsidP="00065FA5">
      <w:pPr>
        <w:spacing w:after="0"/>
        <w:jc w:val="center"/>
        <w:rPr>
          <w:rFonts w:eastAsia="Calibri" w:cstheme="minorHAnsi"/>
          <w:b/>
          <w:bCs/>
          <w:color w:val="FF0000"/>
          <w:szCs w:val="20"/>
        </w:rPr>
      </w:pPr>
      <w:r>
        <w:rPr>
          <w:rFonts w:eastAsia="Calibri" w:cstheme="minorHAnsi"/>
          <w:noProof/>
          <w:szCs w:val="20"/>
          <w:lang w:val="da-DK" w:eastAsia="da-DK"/>
        </w:rPr>
        <w:drawing>
          <wp:anchor distT="0" distB="0" distL="114300" distR="114300" simplePos="0" relativeHeight="251681792" behindDoc="0" locked="0" layoutInCell="1" allowOverlap="1" wp14:anchorId="0ED98CE1" wp14:editId="5DF63ED0">
            <wp:simplePos x="0" y="0"/>
            <wp:positionH relativeFrom="column">
              <wp:posOffset>657225</wp:posOffset>
            </wp:positionH>
            <wp:positionV relativeFrom="paragraph">
              <wp:posOffset>278765</wp:posOffset>
            </wp:positionV>
            <wp:extent cx="5461000" cy="3923665"/>
            <wp:effectExtent l="0" t="0" r="6350" b="635"/>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61000" cy="3923665"/>
                    </a:xfrm>
                    <a:prstGeom prst="rect">
                      <a:avLst/>
                    </a:prstGeom>
                  </pic:spPr>
                </pic:pic>
              </a:graphicData>
            </a:graphic>
            <wp14:sizeRelH relativeFrom="margin">
              <wp14:pctWidth>0</wp14:pctWidth>
            </wp14:sizeRelH>
            <wp14:sizeRelV relativeFrom="margin">
              <wp14:pctHeight>0</wp14:pctHeight>
            </wp14:sizeRelV>
          </wp:anchor>
        </w:drawing>
      </w:r>
      <w:r w:rsidR="00065FA5" w:rsidRPr="00065FA5">
        <w:rPr>
          <w:rFonts w:eastAsia="Calibri" w:cstheme="minorHAnsi"/>
          <w:b/>
          <w:bCs/>
          <w:szCs w:val="20"/>
        </w:rPr>
        <w:t xml:space="preserve">Table </w:t>
      </w:r>
      <w:r w:rsidR="0082394B">
        <w:rPr>
          <w:rFonts w:eastAsia="Calibri" w:cstheme="minorHAnsi"/>
          <w:b/>
          <w:bCs/>
          <w:szCs w:val="20"/>
        </w:rPr>
        <w:t>1</w:t>
      </w:r>
      <w:r w:rsidR="00065FA5" w:rsidRPr="00065FA5">
        <w:rPr>
          <w:rFonts w:eastAsia="Calibri" w:cstheme="minorHAnsi"/>
          <w:b/>
          <w:bCs/>
          <w:szCs w:val="20"/>
        </w:rPr>
        <w:t>:</w:t>
      </w:r>
      <w:r w:rsidR="00065FA5">
        <w:rPr>
          <w:rFonts w:eastAsia="Calibri" w:cstheme="minorHAnsi"/>
          <w:b/>
          <w:bCs/>
          <w:szCs w:val="20"/>
        </w:rPr>
        <w:t xml:space="preserve"> </w:t>
      </w:r>
      <w:r w:rsidR="004D774A">
        <w:rPr>
          <w:rFonts w:eastAsia="Calibri" w:cstheme="minorHAnsi"/>
          <w:b/>
          <w:bCs/>
          <w:szCs w:val="20"/>
        </w:rPr>
        <w:t>Domain</w:t>
      </w:r>
      <w:r w:rsidR="00065FA5">
        <w:rPr>
          <w:rFonts w:eastAsia="Calibri" w:cstheme="minorHAnsi"/>
          <w:b/>
          <w:bCs/>
          <w:szCs w:val="20"/>
        </w:rPr>
        <w:t>s of Change</w:t>
      </w:r>
    </w:p>
    <w:p w14:paraId="248A662C" w14:textId="23AE1365" w:rsidR="00BB0E7C" w:rsidRPr="00065FA5" w:rsidRDefault="00BB0E7C" w:rsidP="008F036A">
      <w:pPr>
        <w:spacing w:after="0"/>
        <w:rPr>
          <w:rFonts w:eastAsia="Calibri" w:cstheme="minorHAnsi"/>
          <w:b/>
          <w:bCs/>
          <w:szCs w:val="20"/>
        </w:rPr>
      </w:pPr>
    </w:p>
    <w:p w14:paraId="372F8E55" w14:textId="005CE283" w:rsidR="005C5F4C" w:rsidRDefault="005C5F4C" w:rsidP="0082394B">
      <w:pPr>
        <w:spacing w:after="120"/>
        <w:rPr>
          <w:rFonts w:eastAsia="Calibri" w:cstheme="minorHAnsi"/>
          <w:szCs w:val="20"/>
        </w:rPr>
      </w:pPr>
      <w:r w:rsidRPr="00065FA5">
        <w:rPr>
          <w:rFonts w:eastAsia="Calibri" w:cstheme="minorHAnsi"/>
          <w:szCs w:val="20"/>
        </w:rPr>
        <w:t xml:space="preserve">The </w:t>
      </w:r>
      <w:r w:rsidR="004D774A">
        <w:rPr>
          <w:rFonts w:eastAsia="Calibri" w:cstheme="minorHAnsi"/>
          <w:szCs w:val="20"/>
        </w:rPr>
        <w:t>domain</w:t>
      </w:r>
      <w:r w:rsidRPr="00065FA5">
        <w:rPr>
          <w:rFonts w:eastAsia="Calibri" w:cstheme="minorHAnsi"/>
          <w:szCs w:val="20"/>
        </w:rPr>
        <w:t xml:space="preserve">s of change </w:t>
      </w:r>
      <w:r w:rsidR="0082394B">
        <w:rPr>
          <w:rFonts w:eastAsia="Calibri" w:cstheme="minorHAnsi"/>
          <w:szCs w:val="20"/>
        </w:rPr>
        <w:t>are designed to</w:t>
      </w:r>
      <w:r w:rsidR="00065FA5" w:rsidRPr="00065FA5">
        <w:rPr>
          <w:rFonts w:eastAsia="Calibri" w:cstheme="minorHAnsi"/>
          <w:szCs w:val="20"/>
        </w:rPr>
        <w:t xml:space="preserve"> serve </w:t>
      </w:r>
      <w:r w:rsidRPr="00065FA5">
        <w:rPr>
          <w:rFonts w:eastAsia="Calibri" w:cstheme="minorHAnsi"/>
          <w:szCs w:val="20"/>
        </w:rPr>
        <w:t>two main purposes</w:t>
      </w:r>
      <w:r w:rsidR="00065FA5">
        <w:rPr>
          <w:rFonts w:eastAsia="Calibri" w:cstheme="minorHAnsi"/>
          <w:szCs w:val="20"/>
        </w:rPr>
        <w:t xml:space="preserve">. First, they should </w:t>
      </w:r>
      <w:r w:rsidRPr="00065FA5">
        <w:rPr>
          <w:rFonts w:eastAsia="Calibri" w:cstheme="minorHAnsi"/>
          <w:szCs w:val="20"/>
        </w:rPr>
        <w:t xml:space="preserve">ensure that case studies are focused on </w:t>
      </w:r>
      <w:r w:rsidRPr="00065FA5">
        <w:rPr>
          <w:rFonts w:eastAsia="Calibri" w:cstheme="minorHAnsi"/>
          <w:szCs w:val="20"/>
          <w:u w:val="single"/>
        </w:rPr>
        <w:t>change</w:t>
      </w:r>
      <w:r w:rsidRPr="00065FA5">
        <w:rPr>
          <w:rFonts w:eastAsia="Calibri" w:cstheme="minorHAnsi"/>
          <w:szCs w:val="20"/>
        </w:rPr>
        <w:t xml:space="preserve"> not activities</w:t>
      </w:r>
      <w:r w:rsidR="00065FA5">
        <w:rPr>
          <w:rFonts w:eastAsia="Calibri" w:cstheme="minorHAnsi"/>
          <w:szCs w:val="20"/>
        </w:rPr>
        <w:t>. Second, they could e</w:t>
      </w:r>
      <w:r w:rsidRPr="00065FA5">
        <w:rPr>
          <w:rFonts w:eastAsia="Calibri" w:cstheme="minorHAnsi"/>
          <w:szCs w:val="20"/>
        </w:rPr>
        <w:t xml:space="preserve">nable some cross-analysis across work that </w:t>
      </w:r>
      <w:r w:rsidR="00065FA5">
        <w:rPr>
          <w:rFonts w:eastAsia="Calibri" w:cstheme="minorHAnsi"/>
          <w:szCs w:val="20"/>
        </w:rPr>
        <w:t>may be</w:t>
      </w:r>
      <w:r w:rsidRPr="00065FA5">
        <w:rPr>
          <w:rFonts w:eastAsia="Calibri" w:cstheme="minorHAnsi"/>
          <w:szCs w:val="20"/>
        </w:rPr>
        <w:t xml:space="preserve"> very different across different SPA partners, sectors and locations</w:t>
      </w:r>
      <w:r w:rsidR="00065FA5">
        <w:rPr>
          <w:rFonts w:eastAsia="Calibri" w:cstheme="minorHAnsi"/>
          <w:szCs w:val="20"/>
        </w:rPr>
        <w:t xml:space="preserve">. </w:t>
      </w:r>
      <w:r w:rsidRPr="00065FA5">
        <w:rPr>
          <w:rFonts w:eastAsia="Calibri" w:cstheme="minorHAnsi"/>
          <w:szCs w:val="20"/>
        </w:rPr>
        <w:t xml:space="preserve">This does </w:t>
      </w:r>
      <w:r w:rsidRPr="00E73893">
        <w:rPr>
          <w:rFonts w:eastAsia="Calibri" w:cstheme="minorHAnsi"/>
          <w:szCs w:val="20"/>
          <w:u w:val="single"/>
        </w:rPr>
        <w:t>not</w:t>
      </w:r>
      <w:r w:rsidRPr="00065FA5">
        <w:rPr>
          <w:rFonts w:eastAsia="Calibri" w:cstheme="minorHAnsi"/>
          <w:szCs w:val="20"/>
        </w:rPr>
        <w:t xml:space="preserve"> mean the </w:t>
      </w:r>
      <w:r w:rsidR="004D774A">
        <w:rPr>
          <w:rFonts w:eastAsia="Calibri" w:cstheme="minorHAnsi"/>
          <w:szCs w:val="20"/>
        </w:rPr>
        <w:t>domain</w:t>
      </w:r>
      <w:r w:rsidRPr="00065FA5">
        <w:rPr>
          <w:rFonts w:eastAsia="Calibri" w:cstheme="minorHAnsi"/>
          <w:szCs w:val="20"/>
        </w:rPr>
        <w:t xml:space="preserve">s will necessarily be the </w:t>
      </w:r>
      <w:r w:rsidR="004D4BC6">
        <w:rPr>
          <w:rFonts w:eastAsia="Calibri" w:cstheme="minorHAnsi"/>
          <w:szCs w:val="20"/>
        </w:rPr>
        <w:t>entry-point</w:t>
      </w:r>
      <w:r w:rsidRPr="00065FA5">
        <w:rPr>
          <w:rFonts w:eastAsia="Calibri" w:cstheme="minorHAnsi"/>
          <w:szCs w:val="20"/>
        </w:rPr>
        <w:t xml:space="preserve"> for the stakeholders wanting </w:t>
      </w:r>
      <w:r w:rsidRPr="00065FA5">
        <w:rPr>
          <w:rFonts w:eastAsia="Calibri" w:cstheme="minorHAnsi"/>
          <w:szCs w:val="20"/>
        </w:rPr>
        <w:lastRenderedPageBreak/>
        <w:t xml:space="preserve">to </w:t>
      </w:r>
      <w:r w:rsidR="004D4BC6">
        <w:rPr>
          <w:rFonts w:eastAsia="Calibri" w:cstheme="minorHAnsi"/>
          <w:szCs w:val="20"/>
        </w:rPr>
        <w:t xml:space="preserve">access the case studies. </w:t>
      </w:r>
      <w:r w:rsidR="00E73893">
        <w:rPr>
          <w:rFonts w:eastAsia="Calibri" w:cstheme="minorHAnsi"/>
          <w:szCs w:val="20"/>
        </w:rPr>
        <w:t>Rather, case studies could be accessed</w:t>
      </w:r>
      <w:r w:rsidR="004D4BC6">
        <w:rPr>
          <w:rFonts w:eastAsia="Calibri" w:cstheme="minorHAnsi"/>
          <w:szCs w:val="20"/>
        </w:rPr>
        <w:t xml:space="preserve"> in many different ways, for example by searching according to region, country, sector of work or thematic area.</w:t>
      </w:r>
    </w:p>
    <w:p w14:paraId="20DECC49" w14:textId="3B451B95" w:rsidR="005C5F4C" w:rsidRDefault="004D4BC6" w:rsidP="00AD2E95">
      <w:pPr>
        <w:rPr>
          <w:rFonts w:eastAsia="Calibri" w:cstheme="minorHAnsi"/>
          <w:szCs w:val="20"/>
        </w:rPr>
      </w:pPr>
      <w:r>
        <w:rPr>
          <w:rFonts w:eastAsia="Calibri" w:cstheme="minorHAnsi"/>
          <w:szCs w:val="20"/>
        </w:rPr>
        <w:t>If the SPRS is successful, the</w:t>
      </w:r>
      <w:r w:rsidR="005C5F4C" w:rsidRPr="00065FA5">
        <w:rPr>
          <w:rFonts w:eastAsia="Calibri" w:cstheme="minorHAnsi"/>
          <w:szCs w:val="20"/>
        </w:rPr>
        <w:t xml:space="preserve"> </w:t>
      </w:r>
      <w:r w:rsidR="004D774A">
        <w:rPr>
          <w:rFonts w:eastAsia="Calibri" w:cstheme="minorHAnsi"/>
          <w:szCs w:val="20"/>
        </w:rPr>
        <w:t>domain</w:t>
      </w:r>
      <w:r>
        <w:rPr>
          <w:rFonts w:eastAsia="Calibri" w:cstheme="minorHAnsi"/>
          <w:szCs w:val="20"/>
        </w:rPr>
        <w:t>s</w:t>
      </w:r>
      <w:r w:rsidR="005C5F4C" w:rsidRPr="00065FA5">
        <w:rPr>
          <w:rFonts w:eastAsia="Calibri" w:cstheme="minorHAnsi"/>
          <w:szCs w:val="20"/>
        </w:rPr>
        <w:t xml:space="preserve"> of changes should last much longer than </w:t>
      </w:r>
      <w:r>
        <w:rPr>
          <w:rFonts w:eastAsia="Calibri" w:cstheme="minorHAnsi"/>
          <w:szCs w:val="20"/>
        </w:rPr>
        <w:t>Danish MFA</w:t>
      </w:r>
      <w:r w:rsidR="005C5F4C" w:rsidRPr="00065FA5">
        <w:rPr>
          <w:rFonts w:eastAsia="Calibri" w:cstheme="minorHAnsi"/>
          <w:szCs w:val="20"/>
        </w:rPr>
        <w:t xml:space="preserve"> strategies, which change within short timeframes</w:t>
      </w:r>
      <w:r>
        <w:rPr>
          <w:rFonts w:eastAsia="Calibri" w:cstheme="minorHAnsi"/>
          <w:szCs w:val="20"/>
        </w:rPr>
        <w:t>.</w:t>
      </w:r>
    </w:p>
    <w:p w14:paraId="4C7AC98F" w14:textId="031CE6AA" w:rsidR="00E73893" w:rsidRPr="00C5341D" w:rsidRDefault="00E73893" w:rsidP="00E73893">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How many case studies are SPA partners expected to develop</w:t>
      </w:r>
      <w:r w:rsidRPr="00C5341D">
        <w:rPr>
          <w:rFonts w:eastAsia="Calibri" w:cstheme="minorHAnsi"/>
          <w:b/>
          <w:bCs/>
          <w:i/>
          <w:iCs/>
          <w:color w:val="35463E" w:themeColor="accent6" w:themeShade="80"/>
          <w:sz w:val="24"/>
          <w:szCs w:val="24"/>
        </w:rPr>
        <w:t>?</w:t>
      </w:r>
    </w:p>
    <w:p w14:paraId="2A7E940F" w14:textId="661EDB5A" w:rsidR="009759CF" w:rsidRDefault="004D4BC6" w:rsidP="00E73893">
      <w:pPr>
        <w:spacing w:after="120"/>
        <w:rPr>
          <w:rFonts w:eastAsia="Calibri" w:cstheme="minorHAnsi"/>
          <w:szCs w:val="20"/>
        </w:rPr>
      </w:pPr>
      <w:r>
        <w:rPr>
          <w:rFonts w:eastAsia="Calibri" w:cstheme="minorHAnsi"/>
          <w:szCs w:val="20"/>
        </w:rPr>
        <w:t>E</w:t>
      </w:r>
      <w:r w:rsidRPr="004D4BC6">
        <w:rPr>
          <w:rFonts w:eastAsia="Calibri" w:cstheme="minorHAnsi"/>
          <w:szCs w:val="20"/>
        </w:rPr>
        <w:t xml:space="preserve">ach SPA partner </w:t>
      </w:r>
      <w:r>
        <w:rPr>
          <w:rFonts w:eastAsia="Calibri" w:cstheme="minorHAnsi"/>
          <w:szCs w:val="20"/>
        </w:rPr>
        <w:t>will</w:t>
      </w:r>
      <w:r w:rsidRPr="004D4BC6">
        <w:rPr>
          <w:rFonts w:eastAsia="Calibri" w:cstheme="minorHAnsi"/>
          <w:szCs w:val="20"/>
        </w:rPr>
        <w:t xml:space="preserve"> produce three case studies per year, resulting in over 50 across the portfolio in year </w:t>
      </w:r>
      <w:r>
        <w:rPr>
          <w:rFonts w:eastAsia="Calibri" w:cstheme="minorHAnsi"/>
          <w:szCs w:val="20"/>
        </w:rPr>
        <w:t>one</w:t>
      </w:r>
      <w:r w:rsidRPr="004D4BC6">
        <w:rPr>
          <w:rFonts w:eastAsia="Calibri" w:cstheme="minorHAnsi"/>
          <w:szCs w:val="20"/>
        </w:rPr>
        <w:t xml:space="preserve">, and over 200 by the end of year </w:t>
      </w:r>
      <w:r>
        <w:rPr>
          <w:rFonts w:eastAsia="Calibri" w:cstheme="minorHAnsi"/>
          <w:szCs w:val="20"/>
        </w:rPr>
        <w:t>four</w:t>
      </w:r>
      <w:r w:rsidRPr="004D4BC6">
        <w:rPr>
          <w:rFonts w:eastAsia="Calibri" w:cstheme="minorHAnsi"/>
          <w:szCs w:val="20"/>
        </w:rPr>
        <w:t>.</w:t>
      </w:r>
      <w:r w:rsidR="009759CF">
        <w:rPr>
          <w:rFonts w:eastAsia="Calibri" w:cstheme="minorHAnsi"/>
          <w:szCs w:val="20"/>
        </w:rPr>
        <w:t xml:space="preserve"> </w:t>
      </w:r>
      <w:r w:rsidR="009759CF" w:rsidRPr="009759CF">
        <w:rPr>
          <w:rFonts w:eastAsia="Calibri" w:cstheme="minorHAnsi"/>
          <w:szCs w:val="20"/>
        </w:rPr>
        <w:t xml:space="preserve"> </w:t>
      </w:r>
      <w:r w:rsidR="009759CF">
        <w:rPr>
          <w:rFonts w:eastAsia="Calibri" w:cstheme="minorHAnsi"/>
          <w:szCs w:val="20"/>
        </w:rPr>
        <w:t>Case studies</w:t>
      </w:r>
      <w:r w:rsidR="009759CF" w:rsidRPr="009759CF">
        <w:rPr>
          <w:rFonts w:eastAsia="Calibri" w:cstheme="minorHAnsi"/>
          <w:szCs w:val="20"/>
        </w:rPr>
        <w:t xml:space="preserve"> should be </w:t>
      </w:r>
      <w:r w:rsidR="009759CF">
        <w:rPr>
          <w:rFonts w:eastAsia="Calibri" w:cstheme="minorHAnsi"/>
          <w:szCs w:val="20"/>
        </w:rPr>
        <w:t>generated</w:t>
      </w:r>
      <w:r w:rsidR="009759CF" w:rsidRPr="009759CF">
        <w:rPr>
          <w:rFonts w:eastAsia="Calibri" w:cstheme="minorHAnsi"/>
          <w:szCs w:val="20"/>
        </w:rPr>
        <w:t xml:space="preserve"> to high-quality M&amp;E standards, using appropriate methodologies</w:t>
      </w:r>
      <w:r w:rsidR="009759CF">
        <w:rPr>
          <w:rFonts w:eastAsia="Calibri" w:cstheme="minorHAnsi"/>
          <w:szCs w:val="20"/>
        </w:rPr>
        <w:t xml:space="preserve"> where necessary</w:t>
      </w:r>
      <w:r w:rsidR="009759CF" w:rsidRPr="009759CF">
        <w:rPr>
          <w:rFonts w:eastAsia="Calibri" w:cstheme="minorHAnsi"/>
          <w:szCs w:val="20"/>
        </w:rPr>
        <w:t>. However, Danish CSOs w</w:t>
      </w:r>
      <w:r w:rsidR="00F70CE9">
        <w:rPr>
          <w:rFonts w:eastAsia="Calibri" w:cstheme="minorHAnsi"/>
          <w:szCs w:val="20"/>
        </w:rPr>
        <w:t>ill</w:t>
      </w:r>
      <w:r w:rsidR="009759CF" w:rsidRPr="009759CF">
        <w:rPr>
          <w:rFonts w:eastAsia="Calibri" w:cstheme="minorHAnsi"/>
          <w:szCs w:val="20"/>
        </w:rPr>
        <w:t xml:space="preserve"> be encouraged to use existing cases wherever possible (i.e. cases already developed through the normal course of monitoring</w:t>
      </w:r>
      <w:r w:rsidR="009759CF">
        <w:rPr>
          <w:rFonts w:eastAsia="Calibri" w:cstheme="minorHAnsi"/>
          <w:szCs w:val="20"/>
        </w:rPr>
        <w:t>,</w:t>
      </w:r>
      <w:r w:rsidR="009759CF" w:rsidRPr="009759CF">
        <w:rPr>
          <w:rFonts w:eastAsia="Calibri" w:cstheme="minorHAnsi"/>
          <w:szCs w:val="20"/>
        </w:rPr>
        <w:t xml:space="preserve"> evaluation</w:t>
      </w:r>
      <w:r w:rsidR="00C228CC">
        <w:rPr>
          <w:rFonts w:eastAsia="Calibri" w:cstheme="minorHAnsi"/>
          <w:szCs w:val="20"/>
        </w:rPr>
        <w:t xml:space="preserve">, </w:t>
      </w:r>
      <w:r w:rsidR="009759CF">
        <w:rPr>
          <w:rFonts w:eastAsia="Calibri" w:cstheme="minorHAnsi"/>
          <w:szCs w:val="20"/>
        </w:rPr>
        <w:t>research</w:t>
      </w:r>
      <w:r w:rsidR="00C228CC">
        <w:rPr>
          <w:rFonts w:eastAsia="Calibri" w:cstheme="minorHAnsi"/>
          <w:szCs w:val="20"/>
        </w:rPr>
        <w:t xml:space="preserve"> and ongoing experiences</w:t>
      </w:r>
      <w:r w:rsidR="009759CF" w:rsidRPr="009759CF">
        <w:rPr>
          <w:rFonts w:eastAsia="Calibri" w:cstheme="minorHAnsi"/>
          <w:szCs w:val="20"/>
        </w:rPr>
        <w:t xml:space="preserve">). </w:t>
      </w:r>
    </w:p>
    <w:p w14:paraId="4F0ECE8B" w14:textId="3DB838BB" w:rsidR="00CD3B1E" w:rsidRDefault="00C228CC" w:rsidP="00CD3B1E">
      <w:pPr>
        <w:spacing w:after="120"/>
        <w:rPr>
          <w:rFonts w:eastAsia="Calibri" w:cstheme="minorHAnsi"/>
          <w:szCs w:val="20"/>
        </w:rPr>
      </w:pPr>
      <w:r>
        <w:rPr>
          <w:rFonts w:eastAsia="Calibri" w:cstheme="minorHAnsi"/>
          <w:szCs w:val="20"/>
        </w:rPr>
        <w:t>Each case study</w:t>
      </w:r>
      <w:r w:rsidR="00CD3B1E" w:rsidRPr="009759CF">
        <w:rPr>
          <w:rFonts w:eastAsia="Calibri" w:cstheme="minorHAnsi"/>
          <w:szCs w:val="20"/>
        </w:rPr>
        <w:t xml:space="preserve"> w</w:t>
      </w:r>
      <w:r w:rsidR="00CD3B1E">
        <w:rPr>
          <w:rFonts w:eastAsia="Calibri" w:cstheme="minorHAnsi"/>
          <w:szCs w:val="20"/>
        </w:rPr>
        <w:t>ill</w:t>
      </w:r>
      <w:r w:rsidR="00CD3B1E" w:rsidRPr="009759CF">
        <w:rPr>
          <w:rFonts w:eastAsia="Calibri" w:cstheme="minorHAnsi"/>
          <w:szCs w:val="20"/>
        </w:rPr>
        <w:t xml:space="preserve"> be mapped onto one </w:t>
      </w:r>
      <w:r w:rsidR="00CD3B1E">
        <w:rPr>
          <w:rFonts w:eastAsia="Calibri" w:cstheme="minorHAnsi"/>
          <w:szCs w:val="20"/>
        </w:rPr>
        <w:t xml:space="preserve">or more </w:t>
      </w:r>
      <w:r w:rsidR="00CD3B1E" w:rsidRPr="009759CF">
        <w:rPr>
          <w:rFonts w:eastAsia="Calibri" w:cstheme="minorHAnsi"/>
          <w:szCs w:val="20"/>
        </w:rPr>
        <w:t xml:space="preserve">of the </w:t>
      </w:r>
      <w:r w:rsidR="004D774A">
        <w:rPr>
          <w:rFonts w:eastAsia="Calibri" w:cstheme="minorHAnsi"/>
          <w:szCs w:val="20"/>
        </w:rPr>
        <w:t>domain</w:t>
      </w:r>
      <w:r w:rsidR="00CD3B1E" w:rsidRPr="009759CF">
        <w:rPr>
          <w:rFonts w:eastAsia="Calibri" w:cstheme="minorHAnsi"/>
          <w:szCs w:val="20"/>
        </w:rPr>
        <w:t>s of change. The subject of the case studies w</w:t>
      </w:r>
      <w:r w:rsidR="00CD3B1E">
        <w:rPr>
          <w:rFonts w:eastAsia="Calibri" w:cstheme="minorHAnsi"/>
          <w:szCs w:val="20"/>
        </w:rPr>
        <w:t xml:space="preserve">ill </w:t>
      </w:r>
      <w:r w:rsidR="00CD3B1E" w:rsidRPr="009759CF">
        <w:rPr>
          <w:rFonts w:eastAsia="Calibri" w:cstheme="minorHAnsi"/>
          <w:szCs w:val="20"/>
        </w:rPr>
        <w:t xml:space="preserve">be up to each individual SPA partner. However, there </w:t>
      </w:r>
      <w:r w:rsidR="00CD3B1E">
        <w:rPr>
          <w:rFonts w:eastAsia="Calibri" w:cstheme="minorHAnsi"/>
          <w:szCs w:val="20"/>
        </w:rPr>
        <w:t>will be</w:t>
      </w:r>
      <w:r w:rsidR="00CD3B1E" w:rsidRPr="009759CF">
        <w:rPr>
          <w:rFonts w:eastAsia="Calibri" w:cstheme="minorHAnsi"/>
          <w:szCs w:val="20"/>
        </w:rPr>
        <w:t xml:space="preserve"> plenty of leeway under the </w:t>
      </w:r>
      <w:r w:rsidR="004D774A">
        <w:rPr>
          <w:rFonts w:eastAsia="Calibri" w:cstheme="minorHAnsi"/>
          <w:szCs w:val="20"/>
        </w:rPr>
        <w:t>domain</w:t>
      </w:r>
      <w:r w:rsidR="00CD3B1E" w:rsidRPr="009759CF">
        <w:rPr>
          <w:rFonts w:eastAsia="Calibri" w:cstheme="minorHAnsi"/>
          <w:szCs w:val="20"/>
        </w:rPr>
        <w:t xml:space="preserve">s to focus on different areas of work. </w:t>
      </w:r>
      <w:r w:rsidR="00CD3B1E" w:rsidRPr="00CD3B1E">
        <w:rPr>
          <w:rFonts w:eastAsia="Calibri" w:cstheme="minorHAnsi"/>
          <w:szCs w:val="20"/>
        </w:rPr>
        <w:t xml:space="preserve">Some possibilities are listed in the table below. But please note these are inclusive not exclusive. They are designed to </w:t>
      </w:r>
      <w:r w:rsidR="00CD3B1E" w:rsidRPr="00C228CC">
        <w:rPr>
          <w:rFonts w:eastAsia="Calibri" w:cstheme="minorHAnsi"/>
          <w:b/>
          <w:bCs/>
          <w:szCs w:val="20"/>
        </w:rPr>
        <w:t xml:space="preserve">illustrate </w:t>
      </w:r>
      <w:r w:rsidR="00CD3B1E" w:rsidRPr="00CD3B1E">
        <w:rPr>
          <w:rFonts w:eastAsia="Calibri" w:cstheme="minorHAnsi"/>
          <w:szCs w:val="20"/>
        </w:rPr>
        <w:t>possibilities only.</w:t>
      </w:r>
    </w:p>
    <w:p w14:paraId="06A68F0D" w14:textId="68C83165" w:rsidR="00CD3B1E" w:rsidRPr="00CD3B1E" w:rsidRDefault="00CD3B1E" w:rsidP="00CD3B1E">
      <w:pPr>
        <w:jc w:val="center"/>
        <w:rPr>
          <w:rFonts w:eastAsia="Calibri" w:cstheme="minorHAnsi"/>
          <w:b/>
          <w:bCs/>
          <w:szCs w:val="20"/>
        </w:rPr>
      </w:pPr>
      <w:r w:rsidRPr="00CD3B1E">
        <w:rPr>
          <w:rFonts w:eastAsia="Calibri" w:cstheme="minorHAnsi"/>
          <w:b/>
          <w:bCs/>
          <w:szCs w:val="20"/>
        </w:rPr>
        <w:t xml:space="preserve">Table 2: Case studies set against </w:t>
      </w:r>
      <w:r w:rsidR="004D774A">
        <w:rPr>
          <w:rFonts w:eastAsia="Calibri" w:cstheme="minorHAnsi"/>
          <w:b/>
          <w:bCs/>
          <w:szCs w:val="20"/>
        </w:rPr>
        <w:t>domain</w:t>
      </w:r>
      <w:r w:rsidRPr="00CD3B1E">
        <w:rPr>
          <w:rFonts w:eastAsia="Calibri" w:cstheme="minorHAnsi"/>
          <w:b/>
          <w:bCs/>
          <w:szCs w:val="20"/>
        </w:rPr>
        <w:t>s of change</w:t>
      </w:r>
    </w:p>
    <w:tbl>
      <w:tblPr>
        <w:tblStyle w:val="TableGrid2"/>
        <w:tblW w:w="0" w:type="auto"/>
        <w:tblLook w:val="04A0" w:firstRow="1" w:lastRow="0" w:firstColumn="1" w:lastColumn="0" w:noHBand="0" w:noVBand="1"/>
      </w:tblPr>
      <w:tblGrid>
        <w:gridCol w:w="2972"/>
        <w:gridCol w:w="7371"/>
      </w:tblGrid>
      <w:tr w:rsidR="00CD3B1E" w:rsidRPr="00CD3B1E" w14:paraId="528C2EA9" w14:textId="77777777" w:rsidTr="00CD3B1E">
        <w:tc>
          <w:tcPr>
            <w:tcW w:w="2972" w:type="dxa"/>
            <w:shd w:val="clear" w:color="auto" w:fill="4F685D" w:themeFill="accent6" w:themeFillShade="BF"/>
          </w:tcPr>
          <w:p w14:paraId="212FBBD0" w14:textId="40EEBFF3" w:rsidR="00CD3B1E" w:rsidRPr="00CD3B1E" w:rsidRDefault="004D774A" w:rsidP="00CD3B1E">
            <w:pPr>
              <w:spacing w:before="40" w:after="40"/>
              <w:rPr>
                <w:rFonts w:eastAsia="Calibri" w:cstheme="minorHAnsi"/>
                <w:b/>
                <w:bCs/>
                <w:color w:val="FFFFFF"/>
                <w:szCs w:val="20"/>
              </w:rPr>
            </w:pPr>
            <w:r>
              <w:rPr>
                <w:rFonts w:eastAsia="Calibri" w:cstheme="minorHAnsi"/>
                <w:b/>
                <w:bCs/>
                <w:color w:val="FFFFFF"/>
                <w:szCs w:val="20"/>
              </w:rPr>
              <w:t>Domain</w:t>
            </w:r>
          </w:p>
        </w:tc>
        <w:tc>
          <w:tcPr>
            <w:tcW w:w="7371" w:type="dxa"/>
            <w:shd w:val="clear" w:color="auto" w:fill="4F685D" w:themeFill="accent6" w:themeFillShade="BF"/>
          </w:tcPr>
          <w:p w14:paraId="3F44EEDB" w14:textId="77777777" w:rsidR="00CD3B1E" w:rsidRPr="00CD3B1E" w:rsidRDefault="00CD3B1E" w:rsidP="00CD3B1E">
            <w:pPr>
              <w:spacing w:before="40" w:after="40"/>
              <w:rPr>
                <w:rFonts w:eastAsia="Calibri" w:cstheme="minorHAnsi"/>
                <w:b/>
                <w:bCs/>
                <w:color w:val="FFFFFF"/>
                <w:szCs w:val="20"/>
              </w:rPr>
            </w:pPr>
            <w:r w:rsidRPr="00CD3B1E">
              <w:rPr>
                <w:rFonts w:eastAsia="Calibri" w:cstheme="minorHAnsi"/>
                <w:b/>
                <w:bCs/>
                <w:color w:val="FFFFFF"/>
                <w:szCs w:val="20"/>
              </w:rPr>
              <w:t>Coverage</w:t>
            </w:r>
          </w:p>
        </w:tc>
      </w:tr>
      <w:tr w:rsidR="00CD3B1E" w:rsidRPr="00CD3B1E" w14:paraId="59A60AE0" w14:textId="77777777" w:rsidTr="00A43575">
        <w:tc>
          <w:tcPr>
            <w:tcW w:w="2972" w:type="dxa"/>
            <w:shd w:val="clear" w:color="auto" w:fill="E0E8E4" w:themeFill="accent6" w:themeFillTint="33"/>
          </w:tcPr>
          <w:p w14:paraId="66E6E0D5" w14:textId="1D579D8C" w:rsidR="00CD3B1E" w:rsidRPr="00CD3B1E" w:rsidRDefault="004824ED" w:rsidP="00A43575">
            <w:pPr>
              <w:spacing w:before="40" w:after="40"/>
              <w:rPr>
                <w:rFonts w:eastAsia="Calibri" w:cstheme="minorHAnsi"/>
                <w:sz w:val="18"/>
                <w:szCs w:val="18"/>
              </w:rPr>
            </w:pPr>
            <w:r w:rsidRPr="004824ED">
              <w:rPr>
                <w:rFonts w:eastAsia="Calibri" w:cstheme="minorHAnsi"/>
                <w:sz w:val="18"/>
                <w:szCs w:val="18"/>
              </w:rPr>
              <w:t xml:space="preserve">Changes in the </w:t>
            </w:r>
            <w:r w:rsidRPr="008F036A">
              <w:rPr>
                <w:rFonts w:eastAsia="Calibri" w:cstheme="minorHAnsi"/>
                <w:b/>
                <w:bCs/>
                <w:sz w:val="18"/>
                <w:szCs w:val="18"/>
              </w:rPr>
              <w:t>lives</w:t>
            </w:r>
            <w:r w:rsidRPr="004824ED">
              <w:rPr>
                <w:rFonts w:eastAsia="Calibri" w:cstheme="minorHAnsi"/>
                <w:sz w:val="18"/>
                <w:szCs w:val="18"/>
              </w:rPr>
              <w:t xml:space="preserve"> of people facing poverty, marginalisation or vulnerability, and/or the realisation of their rights</w:t>
            </w:r>
          </w:p>
        </w:tc>
        <w:tc>
          <w:tcPr>
            <w:tcW w:w="7371" w:type="dxa"/>
            <w:shd w:val="clear" w:color="auto" w:fill="E0E8E4" w:themeFill="accent6" w:themeFillTint="33"/>
          </w:tcPr>
          <w:p w14:paraId="45360B5E" w14:textId="33BA9AE1" w:rsidR="00C228CC" w:rsidRPr="00C228CC" w:rsidRDefault="00CD3B1E" w:rsidP="00C228CC">
            <w:pPr>
              <w:numPr>
                <w:ilvl w:val="0"/>
                <w:numId w:val="11"/>
              </w:numPr>
              <w:spacing w:before="40" w:after="40"/>
              <w:ind w:left="357" w:hanging="357"/>
              <w:rPr>
                <w:rFonts w:eastAsia="Calibri" w:cstheme="minorHAnsi"/>
                <w:sz w:val="18"/>
                <w:szCs w:val="18"/>
              </w:rPr>
            </w:pPr>
            <w:r w:rsidRPr="00CD3B1E">
              <w:rPr>
                <w:rFonts w:eastAsia="Calibri" w:cstheme="minorHAnsi"/>
                <w:sz w:val="18"/>
                <w:szCs w:val="18"/>
              </w:rPr>
              <w:t>Changes in lives</w:t>
            </w:r>
            <w:r w:rsidR="00512809">
              <w:rPr>
                <w:rFonts w:eastAsia="Calibri" w:cstheme="minorHAnsi"/>
                <w:sz w:val="18"/>
                <w:szCs w:val="18"/>
              </w:rPr>
              <w:t xml:space="preserve"> re</w:t>
            </w:r>
            <w:r w:rsidRPr="00CD3B1E">
              <w:rPr>
                <w:rFonts w:eastAsia="Calibri" w:cstheme="minorHAnsi"/>
                <w:sz w:val="18"/>
                <w:szCs w:val="18"/>
              </w:rPr>
              <w:t xml:space="preserve">sulting from direct humanitarian interventions, either directly or through </w:t>
            </w:r>
            <w:r w:rsidR="00A43575">
              <w:rPr>
                <w:rFonts w:eastAsia="Calibri" w:cstheme="minorHAnsi"/>
                <w:sz w:val="18"/>
                <w:szCs w:val="18"/>
              </w:rPr>
              <w:t xml:space="preserve">Southern </w:t>
            </w:r>
            <w:r w:rsidRPr="00CD3B1E">
              <w:rPr>
                <w:rFonts w:eastAsia="Calibri" w:cstheme="minorHAnsi"/>
                <w:sz w:val="18"/>
                <w:szCs w:val="18"/>
              </w:rPr>
              <w:t>partner agencies</w:t>
            </w:r>
          </w:p>
          <w:p w14:paraId="102FBA90" w14:textId="77777777" w:rsidR="00C228CC" w:rsidRDefault="00C228CC" w:rsidP="00C228CC">
            <w:pPr>
              <w:numPr>
                <w:ilvl w:val="0"/>
                <w:numId w:val="11"/>
              </w:numPr>
              <w:spacing w:before="40" w:after="40"/>
              <w:rPr>
                <w:rFonts w:eastAsia="Calibri" w:cstheme="minorHAnsi"/>
                <w:sz w:val="18"/>
                <w:szCs w:val="18"/>
              </w:rPr>
            </w:pPr>
            <w:r>
              <w:rPr>
                <w:rFonts w:eastAsia="Calibri" w:cstheme="minorHAnsi"/>
                <w:sz w:val="18"/>
                <w:szCs w:val="18"/>
              </w:rPr>
              <w:t>The extent to which different groups or individuals have had their rights realised</w:t>
            </w:r>
          </w:p>
          <w:p w14:paraId="03D7067C" w14:textId="6428E6EB" w:rsidR="00CD3B1E" w:rsidRPr="00CD3B1E" w:rsidRDefault="00CD3B1E" w:rsidP="00C228CC">
            <w:pPr>
              <w:numPr>
                <w:ilvl w:val="0"/>
                <w:numId w:val="11"/>
              </w:numPr>
              <w:spacing w:before="40" w:after="40"/>
              <w:rPr>
                <w:rFonts w:eastAsia="Calibri" w:cstheme="minorHAnsi"/>
                <w:sz w:val="18"/>
                <w:szCs w:val="18"/>
              </w:rPr>
            </w:pPr>
            <w:r w:rsidRPr="00CD3B1E">
              <w:rPr>
                <w:rFonts w:eastAsia="Calibri" w:cstheme="minorHAnsi"/>
                <w:sz w:val="18"/>
                <w:szCs w:val="18"/>
              </w:rPr>
              <w:t xml:space="preserve">Changes in lives resulting directly from initiatives of </w:t>
            </w:r>
            <w:r w:rsidR="00A43575">
              <w:rPr>
                <w:rFonts w:eastAsia="Calibri" w:cstheme="minorHAnsi"/>
                <w:sz w:val="18"/>
                <w:szCs w:val="18"/>
              </w:rPr>
              <w:t xml:space="preserve">Southern </w:t>
            </w:r>
            <w:r w:rsidRPr="00CD3B1E">
              <w:rPr>
                <w:rFonts w:eastAsia="Calibri" w:cstheme="minorHAnsi"/>
                <w:sz w:val="18"/>
                <w:szCs w:val="18"/>
              </w:rPr>
              <w:t>partner agencies, such as health, peacebuilding, migration or climate adaption programmes</w:t>
            </w:r>
          </w:p>
          <w:p w14:paraId="2BC2D6B3" w14:textId="77777777" w:rsidR="00C228CC" w:rsidRDefault="00CD3B1E" w:rsidP="00C228CC">
            <w:pPr>
              <w:numPr>
                <w:ilvl w:val="0"/>
                <w:numId w:val="11"/>
              </w:numPr>
              <w:spacing w:before="40" w:after="40"/>
              <w:ind w:left="357" w:hanging="357"/>
              <w:rPr>
                <w:rFonts w:eastAsia="Calibri" w:cstheme="minorHAnsi"/>
                <w:sz w:val="18"/>
                <w:szCs w:val="18"/>
              </w:rPr>
            </w:pPr>
            <w:r w:rsidRPr="00CD3B1E">
              <w:rPr>
                <w:rFonts w:eastAsia="Calibri" w:cstheme="minorHAnsi"/>
                <w:sz w:val="18"/>
                <w:szCs w:val="18"/>
              </w:rPr>
              <w:t xml:space="preserve">Direct (and </w:t>
            </w:r>
            <w:r w:rsidR="00A43575">
              <w:rPr>
                <w:rFonts w:eastAsia="Calibri" w:cstheme="minorHAnsi"/>
                <w:sz w:val="18"/>
                <w:szCs w:val="18"/>
              </w:rPr>
              <w:t>evidence</w:t>
            </w:r>
            <w:r w:rsidR="00512809">
              <w:rPr>
                <w:rFonts w:eastAsia="Calibri" w:cstheme="minorHAnsi"/>
                <w:sz w:val="18"/>
                <w:szCs w:val="18"/>
              </w:rPr>
              <w:t>d</w:t>
            </w:r>
            <w:r w:rsidRPr="00CD3B1E">
              <w:rPr>
                <w:rFonts w:eastAsia="Calibri" w:cstheme="minorHAnsi"/>
                <w:sz w:val="18"/>
                <w:szCs w:val="18"/>
              </w:rPr>
              <w:t>) changes in lives resulting from advocacy, capacity or partnership work</w:t>
            </w:r>
          </w:p>
          <w:p w14:paraId="6B208548" w14:textId="22CA27B1" w:rsidR="00512809" w:rsidRPr="00CD3B1E" w:rsidRDefault="00512809" w:rsidP="00C228CC">
            <w:pPr>
              <w:numPr>
                <w:ilvl w:val="0"/>
                <w:numId w:val="11"/>
              </w:numPr>
              <w:spacing w:before="40" w:after="40"/>
              <w:ind w:left="357" w:hanging="357"/>
              <w:rPr>
                <w:rFonts w:eastAsia="Calibri" w:cstheme="minorHAnsi"/>
                <w:sz w:val="18"/>
                <w:szCs w:val="18"/>
              </w:rPr>
            </w:pPr>
            <w:r>
              <w:rPr>
                <w:rFonts w:eastAsia="Calibri" w:cstheme="minorHAnsi"/>
                <w:sz w:val="18"/>
                <w:szCs w:val="18"/>
              </w:rPr>
              <w:t>Changes in people’s lives resulting from a targeted pilot study or piece of research, which may later be mainstreamed, adapted or replicated.</w:t>
            </w:r>
          </w:p>
        </w:tc>
      </w:tr>
      <w:tr w:rsidR="00CD3B1E" w:rsidRPr="00CD3B1E" w14:paraId="6CA39527" w14:textId="77777777" w:rsidTr="00A43575">
        <w:tc>
          <w:tcPr>
            <w:tcW w:w="2972" w:type="dxa"/>
            <w:shd w:val="clear" w:color="auto" w:fill="C2D1CB" w:themeFill="accent6" w:themeFillTint="66"/>
          </w:tcPr>
          <w:p w14:paraId="614E131C" w14:textId="38100328" w:rsidR="004824ED" w:rsidRPr="004824ED" w:rsidRDefault="004824ED" w:rsidP="004824ED">
            <w:pPr>
              <w:spacing w:before="40" w:after="40"/>
              <w:rPr>
                <w:rFonts w:eastAsia="Calibri" w:cstheme="minorHAnsi"/>
                <w:sz w:val="18"/>
                <w:szCs w:val="18"/>
              </w:rPr>
            </w:pPr>
            <w:r w:rsidRPr="004824ED">
              <w:rPr>
                <w:rFonts w:eastAsia="Calibri" w:cstheme="minorHAnsi"/>
                <w:sz w:val="18"/>
                <w:szCs w:val="18"/>
              </w:rPr>
              <w:t xml:space="preserve">Changes in laws, </w:t>
            </w:r>
            <w:r w:rsidRPr="008F036A">
              <w:rPr>
                <w:rFonts w:eastAsia="Calibri" w:cstheme="minorHAnsi"/>
                <w:b/>
                <w:bCs/>
                <w:sz w:val="18"/>
                <w:szCs w:val="18"/>
              </w:rPr>
              <w:t>policies</w:t>
            </w:r>
            <w:r w:rsidRPr="004824ED">
              <w:rPr>
                <w:rFonts w:eastAsia="Calibri" w:cstheme="minorHAnsi"/>
                <w:sz w:val="18"/>
                <w:szCs w:val="18"/>
              </w:rPr>
              <w:t xml:space="preserve"> and practices that affect people’s rights</w:t>
            </w:r>
          </w:p>
          <w:p w14:paraId="51FC069F" w14:textId="2E88F69B" w:rsidR="004824ED" w:rsidRPr="00CD3B1E" w:rsidRDefault="004824ED" w:rsidP="004824ED">
            <w:pPr>
              <w:spacing w:before="40" w:after="40"/>
              <w:rPr>
                <w:rFonts w:eastAsia="Calibri" w:cstheme="minorHAnsi"/>
                <w:sz w:val="18"/>
                <w:szCs w:val="18"/>
              </w:rPr>
            </w:pPr>
          </w:p>
        </w:tc>
        <w:tc>
          <w:tcPr>
            <w:tcW w:w="7371" w:type="dxa"/>
            <w:shd w:val="clear" w:color="auto" w:fill="C2D1CB" w:themeFill="accent6" w:themeFillTint="66"/>
          </w:tcPr>
          <w:p w14:paraId="4C96D408" w14:textId="77777777" w:rsidR="00CD3B1E" w:rsidRPr="00CD3B1E" w:rsidRDefault="00CD3B1E" w:rsidP="00DC27EC">
            <w:pPr>
              <w:numPr>
                <w:ilvl w:val="0"/>
                <w:numId w:val="12"/>
              </w:numPr>
              <w:spacing w:before="40" w:after="40"/>
              <w:rPr>
                <w:rFonts w:eastAsia="Calibri" w:cstheme="minorHAnsi"/>
                <w:sz w:val="18"/>
                <w:szCs w:val="18"/>
              </w:rPr>
            </w:pPr>
            <w:r w:rsidRPr="00CD3B1E">
              <w:rPr>
                <w:rFonts w:eastAsia="Calibri" w:cstheme="minorHAnsi"/>
                <w:sz w:val="18"/>
                <w:szCs w:val="18"/>
              </w:rPr>
              <w:t>Changes in a specific policy, introduction of a new policy, or prevention of a new policy.</w:t>
            </w:r>
          </w:p>
          <w:p w14:paraId="515121AE" w14:textId="77777777" w:rsidR="00CD3B1E" w:rsidRPr="00CD3B1E" w:rsidRDefault="00CD3B1E" w:rsidP="00DC27EC">
            <w:pPr>
              <w:numPr>
                <w:ilvl w:val="0"/>
                <w:numId w:val="12"/>
              </w:numPr>
              <w:spacing w:before="40" w:after="40"/>
              <w:rPr>
                <w:rFonts w:eastAsia="Calibri" w:cstheme="minorHAnsi"/>
                <w:sz w:val="18"/>
                <w:szCs w:val="18"/>
              </w:rPr>
            </w:pPr>
            <w:r w:rsidRPr="00CD3B1E">
              <w:rPr>
                <w:rFonts w:eastAsia="Calibri" w:cstheme="minorHAnsi"/>
                <w:sz w:val="18"/>
                <w:szCs w:val="18"/>
              </w:rPr>
              <w:t>Changes in the way a specific policy or practice is implemented</w:t>
            </w:r>
          </w:p>
          <w:p w14:paraId="761B47D5" w14:textId="77777777" w:rsidR="00C228CC" w:rsidRDefault="00CD3B1E" w:rsidP="00C228CC">
            <w:pPr>
              <w:numPr>
                <w:ilvl w:val="0"/>
                <w:numId w:val="12"/>
              </w:numPr>
              <w:spacing w:before="40" w:after="40"/>
              <w:rPr>
                <w:rFonts w:eastAsia="Calibri" w:cstheme="minorHAnsi"/>
                <w:sz w:val="18"/>
                <w:szCs w:val="18"/>
              </w:rPr>
            </w:pPr>
            <w:r w:rsidRPr="00CD3B1E">
              <w:rPr>
                <w:rFonts w:eastAsia="Calibri" w:cstheme="minorHAnsi"/>
                <w:sz w:val="18"/>
                <w:szCs w:val="18"/>
              </w:rPr>
              <w:t>Changes in discourse, support or mobilisation around a specific policy</w:t>
            </w:r>
          </w:p>
          <w:p w14:paraId="65A8920A" w14:textId="77777777" w:rsidR="006317F0" w:rsidRDefault="00CD3B1E" w:rsidP="00201960">
            <w:pPr>
              <w:numPr>
                <w:ilvl w:val="0"/>
                <w:numId w:val="12"/>
              </w:numPr>
              <w:spacing w:before="40" w:after="40"/>
              <w:rPr>
                <w:rFonts w:eastAsia="Calibri" w:cstheme="minorHAnsi"/>
                <w:sz w:val="18"/>
                <w:szCs w:val="18"/>
              </w:rPr>
            </w:pPr>
            <w:r w:rsidRPr="00C228CC">
              <w:rPr>
                <w:rFonts w:eastAsia="Calibri" w:cstheme="minorHAnsi"/>
                <w:sz w:val="18"/>
                <w:szCs w:val="18"/>
              </w:rPr>
              <w:t>Changes in a series of policies of practices across different locations, but linked by a common theme (e.g. changes in climate change policies in multiple countries)</w:t>
            </w:r>
          </w:p>
          <w:p w14:paraId="1B823122" w14:textId="1E2D2EE3" w:rsidR="00BB0E7C" w:rsidRPr="00201960" w:rsidRDefault="00BB0E7C" w:rsidP="00201960">
            <w:pPr>
              <w:numPr>
                <w:ilvl w:val="0"/>
                <w:numId w:val="12"/>
              </w:numPr>
              <w:spacing w:before="40" w:after="40"/>
              <w:rPr>
                <w:rFonts w:eastAsia="Calibri" w:cstheme="minorHAnsi"/>
                <w:sz w:val="18"/>
                <w:szCs w:val="18"/>
              </w:rPr>
            </w:pPr>
            <w:r w:rsidRPr="00512809">
              <w:rPr>
                <w:rFonts w:eastAsia="Calibri" w:cstheme="minorHAnsi"/>
                <w:sz w:val="18"/>
                <w:szCs w:val="18"/>
              </w:rPr>
              <w:t xml:space="preserve">Systemic change </w:t>
            </w:r>
            <w:r w:rsidR="00512809" w:rsidRPr="00512809">
              <w:rPr>
                <w:rFonts w:eastAsia="Calibri" w:cstheme="minorHAnsi"/>
                <w:sz w:val="18"/>
                <w:szCs w:val="18"/>
              </w:rPr>
              <w:t>at local, national or regional level (</w:t>
            </w:r>
            <w:r w:rsidRPr="00512809">
              <w:rPr>
                <w:rFonts w:eastAsia="Calibri" w:cstheme="minorHAnsi"/>
                <w:sz w:val="18"/>
                <w:szCs w:val="18"/>
              </w:rPr>
              <w:t xml:space="preserve">generally understood to require adjustments or transformations in the policies, practices, power dynamics, social norms or mindsets that underlie </w:t>
            </w:r>
            <w:r w:rsidR="00512809" w:rsidRPr="00512809">
              <w:rPr>
                <w:rFonts w:eastAsia="Calibri" w:cstheme="minorHAnsi"/>
                <w:sz w:val="18"/>
                <w:szCs w:val="18"/>
              </w:rPr>
              <w:t>a societal issue)</w:t>
            </w:r>
          </w:p>
        </w:tc>
      </w:tr>
      <w:tr w:rsidR="00CD3B1E" w:rsidRPr="00CD3B1E" w14:paraId="07EB4C8D" w14:textId="77777777" w:rsidTr="00A43575">
        <w:tc>
          <w:tcPr>
            <w:tcW w:w="2972" w:type="dxa"/>
            <w:shd w:val="clear" w:color="auto" w:fill="E0E8E4" w:themeFill="accent6" w:themeFillTint="33"/>
          </w:tcPr>
          <w:p w14:paraId="5A9DF506" w14:textId="6158312B" w:rsidR="00CD3B1E" w:rsidRPr="00CD3B1E" w:rsidRDefault="004824ED" w:rsidP="00A43575">
            <w:pPr>
              <w:spacing w:before="40" w:after="40"/>
              <w:rPr>
                <w:rFonts w:eastAsia="Calibri" w:cstheme="minorHAnsi"/>
                <w:sz w:val="18"/>
                <w:szCs w:val="18"/>
              </w:rPr>
            </w:pPr>
            <w:r w:rsidRPr="004824ED">
              <w:rPr>
                <w:rFonts w:eastAsia="Calibri" w:cstheme="minorHAnsi"/>
                <w:sz w:val="18"/>
                <w:szCs w:val="18"/>
              </w:rPr>
              <w:t xml:space="preserve">Changes in the </w:t>
            </w:r>
            <w:r w:rsidRPr="008F036A">
              <w:rPr>
                <w:rFonts w:eastAsia="Calibri" w:cstheme="minorHAnsi"/>
                <w:b/>
                <w:bCs/>
                <w:sz w:val="18"/>
                <w:szCs w:val="18"/>
              </w:rPr>
              <w:t>capacity</w:t>
            </w:r>
            <w:r w:rsidRPr="004824ED">
              <w:rPr>
                <w:rFonts w:eastAsia="Calibri" w:cstheme="minorHAnsi"/>
                <w:sz w:val="18"/>
                <w:szCs w:val="18"/>
              </w:rPr>
              <w:t xml:space="preserve"> of organisations and communities to support people’s rights</w:t>
            </w:r>
          </w:p>
        </w:tc>
        <w:tc>
          <w:tcPr>
            <w:tcW w:w="7371" w:type="dxa"/>
            <w:shd w:val="clear" w:color="auto" w:fill="E0E8E4" w:themeFill="accent6" w:themeFillTint="33"/>
          </w:tcPr>
          <w:p w14:paraId="675A0045" w14:textId="0A6DF4B4" w:rsidR="00A43575" w:rsidRDefault="00CD3B1E" w:rsidP="00DC27EC">
            <w:pPr>
              <w:numPr>
                <w:ilvl w:val="0"/>
                <w:numId w:val="13"/>
              </w:numPr>
              <w:spacing w:before="40" w:after="40"/>
              <w:rPr>
                <w:rFonts w:eastAsia="Calibri" w:cstheme="minorHAnsi"/>
                <w:sz w:val="18"/>
                <w:szCs w:val="18"/>
              </w:rPr>
            </w:pPr>
            <w:r w:rsidRPr="00CD3B1E">
              <w:rPr>
                <w:rFonts w:eastAsia="Calibri" w:cstheme="minorHAnsi"/>
                <w:sz w:val="18"/>
                <w:szCs w:val="18"/>
              </w:rPr>
              <w:t xml:space="preserve">Changes in the capacity of a key </w:t>
            </w:r>
            <w:r w:rsidR="00C228CC">
              <w:rPr>
                <w:rFonts w:eastAsia="Calibri" w:cstheme="minorHAnsi"/>
                <w:sz w:val="18"/>
                <w:szCs w:val="18"/>
              </w:rPr>
              <w:t xml:space="preserve">Southern </w:t>
            </w:r>
            <w:r w:rsidRPr="00CD3B1E">
              <w:rPr>
                <w:rFonts w:eastAsia="Calibri" w:cstheme="minorHAnsi"/>
                <w:sz w:val="18"/>
                <w:szCs w:val="18"/>
              </w:rPr>
              <w:t xml:space="preserve">partner </w:t>
            </w:r>
          </w:p>
          <w:p w14:paraId="78CDCAC2" w14:textId="3A86467C" w:rsidR="00CD3B1E" w:rsidRPr="00CD3B1E" w:rsidRDefault="00A43575" w:rsidP="00DC27EC">
            <w:pPr>
              <w:numPr>
                <w:ilvl w:val="0"/>
                <w:numId w:val="13"/>
              </w:numPr>
              <w:spacing w:before="40" w:after="40"/>
              <w:rPr>
                <w:rFonts w:eastAsia="Calibri" w:cstheme="minorHAnsi"/>
                <w:sz w:val="18"/>
                <w:szCs w:val="18"/>
              </w:rPr>
            </w:pPr>
            <w:r>
              <w:rPr>
                <w:rFonts w:eastAsia="Calibri" w:cstheme="minorHAnsi"/>
                <w:sz w:val="18"/>
                <w:szCs w:val="18"/>
              </w:rPr>
              <w:t>Changes in the capacity of an external actor supported by an SPA partner</w:t>
            </w:r>
            <w:r w:rsidR="00C228CC">
              <w:rPr>
                <w:rFonts w:eastAsia="Calibri" w:cstheme="minorHAnsi"/>
                <w:sz w:val="18"/>
                <w:szCs w:val="18"/>
              </w:rPr>
              <w:t xml:space="preserve"> or Southern partner</w:t>
            </w:r>
            <w:r>
              <w:rPr>
                <w:rFonts w:eastAsia="Calibri" w:cstheme="minorHAnsi"/>
                <w:sz w:val="18"/>
                <w:szCs w:val="18"/>
              </w:rPr>
              <w:t xml:space="preserve">, </w:t>
            </w:r>
            <w:r w:rsidR="00CD3B1E" w:rsidRPr="00CD3B1E">
              <w:rPr>
                <w:rFonts w:eastAsia="Calibri" w:cstheme="minorHAnsi"/>
                <w:sz w:val="18"/>
                <w:szCs w:val="18"/>
              </w:rPr>
              <w:t xml:space="preserve">such as </w:t>
            </w:r>
            <w:r>
              <w:rPr>
                <w:rFonts w:eastAsia="Calibri" w:cstheme="minorHAnsi"/>
                <w:sz w:val="18"/>
                <w:szCs w:val="18"/>
              </w:rPr>
              <w:t xml:space="preserve">a </w:t>
            </w:r>
            <w:r w:rsidR="00CD3B1E" w:rsidRPr="00CD3B1E">
              <w:rPr>
                <w:rFonts w:eastAsia="Calibri" w:cstheme="minorHAnsi"/>
                <w:sz w:val="18"/>
                <w:szCs w:val="18"/>
              </w:rPr>
              <w:t>government ministry</w:t>
            </w:r>
            <w:r>
              <w:rPr>
                <w:rFonts w:eastAsia="Calibri" w:cstheme="minorHAnsi"/>
                <w:sz w:val="18"/>
                <w:szCs w:val="18"/>
              </w:rPr>
              <w:t>, law enforcement agency or commercial organisation</w:t>
            </w:r>
          </w:p>
          <w:p w14:paraId="09E85DAE" w14:textId="7D4917B4" w:rsidR="00CD3B1E" w:rsidRPr="00CD3B1E" w:rsidRDefault="00CD3B1E" w:rsidP="00DC27EC">
            <w:pPr>
              <w:numPr>
                <w:ilvl w:val="0"/>
                <w:numId w:val="13"/>
              </w:numPr>
              <w:spacing w:before="40" w:after="40"/>
              <w:rPr>
                <w:rFonts w:eastAsia="Calibri" w:cstheme="minorHAnsi"/>
                <w:sz w:val="18"/>
                <w:szCs w:val="18"/>
              </w:rPr>
            </w:pPr>
            <w:r w:rsidRPr="00CD3B1E">
              <w:rPr>
                <w:rFonts w:eastAsia="Calibri" w:cstheme="minorHAnsi"/>
                <w:sz w:val="18"/>
                <w:szCs w:val="18"/>
              </w:rPr>
              <w:t>Changes in the capacities of multiple partners in a specified area</w:t>
            </w:r>
            <w:r w:rsidR="00C228CC">
              <w:rPr>
                <w:rFonts w:eastAsia="Calibri" w:cstheme="minorHAnsi"/>
                <w:sz w:val="18"/>
                <w:szCs w:val="18"/>
              </w:rPr>
              <w:t xml:space="preserve"> or sector</w:t>
            </w:r>
            <w:r w:rsidRPr="00CD3B1E">
              <w:rPr>
                <w:rFonts w:eastAsia="Calibri" w:cstheme="minorHAnsi"/>
                <w:sz w:val="18"/>
                <w:szCs w:val="18"/>
              </w:rPr>
              <w:t xml:space="preserve"> (such as changes in their capacity to engage in advocacy work)</w:t>
            </w:r>
          </w:p>
          <w:p w14:paraId="325E9096" w14:textId="77777777" w:rsidR="00CD3B1E" w:rsidRPr="00CD3B1E" w:rsidRDefault="00CD3B1E" w:rsidP="00DC27EC">
            <w:pPr>
              <w:numPr>
                <w:ilvl w:val="0"/>
                <w:numId w:val="13"/>
              </w:numPr>
              <w:spacing w:before="40" w:after="40"/>
              <w:rPr>
                <w:rFonts w:eastAsia="Calibri" w:cstheme="minorHAnsi"/>
                <w:sz w:val="18"/>
                <w:szCs w:val="18"/>
              </w:rPr>
            </w:pPr>
            <w:r w:rsidRPr="00CD3B1E">
              <w:rPr>
                <w:rFonts w:eastAsia="Calibri" w:cstheme="minorHAnsi"/>
                <w:sz w:val="18"/>
                <w:szCs w:val="18"/>
              </w:rPr>
              <w:t>Empowerment of local civil society actors to hold duty bearers to account</w:t>
            </w:r>
          </w:p>
          <w:p w14:paraId="01C544C1" w14:textId="07BE7E19" w:rsidR="00BB0E7C" w:rsidRPr="00CD3B1E" w:rsidRDefault="00CD3B1E" w:rsidP="00512809">
            <w:pPr>
              <w:numPr>
                <w:ilvl w:val="0"/>
                <w:numId w:val="13"/>
              </w:numPr>
              <w:spacing w:before="40" w:after="40"/>
              <w:rPr>
                <w:rFonts w:eastAsia="Calibri" w:cstheme="minorHAnsi"/>
                <w:sz w:val="18"/>
                <w:szCs w:val="18"/>
              </w:rPr>
            </w:pPr>
            <w:r w:rsidRPr="00CD3B1E">
              <w:rPr>
                <w:rFonts w:eastAsia="Calibri" w:cstheme="minorHAnsi"/>
                <w:sz w:val="18"/>
                <w:szCs w:val="18"/>
              </w:rPr>
              <w:t>Changes in</w:t>
            </w:r>
            <w:r w:rsidR="00C228CC">
              <w:rPr>
                <w:rFonts w:eastAsia="Calibri" w:cstheme="minorHAnsi"/>
                <w:sz w:val="18"/>
                <w:szCs w:val="18"/>
              </w:rPr>
              <w:t xml:space="preserve"> the</w:t>
            </w:r>
            <w:r w:rsidRPr="00CD3B1E">
              <w:rPr>
                <w:rFonts w:eastAsia="Calibri" w:cstheme="minorHAnsi"/>
                <w:sz w:val="18"/>
                <w:szCs w:val="18"/>
              </w:rPr>
              <w:t xml:space="preserve"> capacity </w:t>
            </w:r>
            <w:r w:rsidR="00C228CC">
              <w:rPr>
                <w:rFonts w:eastAsia="Calibri" w:cstheme="minorHAnsi"/>
                <w:sz w:val="18"/>
                <w:szCs w:val="18"/>
              </w:rPr>
              <w:t>of</w:t>
            </w:r>
            <w:r w:rsidRPr="00CD3B1E">
              <w:rPr>
                <w:rFonts w:eastAsia="Calibri" w:cstheme="minorHAnsi"/>
                <w:sz w:val="18"/>
                <w:szCs w:val="18"/>
              </w:rPr>
              <w:t xml:space="preserve"> multiple agencies based on a new or innovative method of working</w:t>
            </w:r>
          </w:p>
        </w:tc>
      </w:tr>
      <w:tr w:rsidR="00CD3B1E" w:rsidRPr="00CD3B1E" w14:paraId="565EE0D5" w14:textId="77777777" w:rsidTr="00A43575">
        <w:tc>
          <w:tcPr>
            <w:tcW w:w="2972" w:type="dxa"/>
            <w:shd w:val="clear" w:color="auto" w:fill="C2D1CB" w:themeFill="accent6" w:themeFillTint="66"/>
          </w:tcPr>
          <w:p w14:paraId="68E465AF" w14:textId="256C5680" w:rsidR="00CD3B1E" w:rsidRPr="00CD3B1E" w:rsidRDefault="004824ED" w:rsidP="00A43575">
            <w:pPr>
              <w:spacing w:before="40" w:after="40"/>
              <w:rPr>
                <w:rFonts w:eastAsia="Calibri" w:cstheme="minorHAnsi"/>
                <w:sz w:val="18"/>
                <w:szCs w:val="18"/>
              </w:rPr>
            </w:pPr>
            <w:r w:rsidRPr="004824ED">
              <w:rPr>
                <w:rFonts w:eastAsia="Calibri" w:cstheme="minorHAnsi"/>
                <w:sz w:val="18"/>
                <w:szCs w:val="18"/>
              </w:rPr>
              <w:t xml:space="preserve">Changes in </w:t>
            </w:r>
            <w:r w:rsidRPr="008F036A">
              <w:rPr>
                <w:rFonts w:eastAsia="Calibri" w:cstheme="minorHAnsi"/>
                <w:b/>
                <w:bCs/>
                <w:sz w:val="18"/>
                <w:szCs w:val="18"/>
              </w:rPr>
              <w:t>partnerships</w:t>
            </w:r>
            <w:r w:rsidRPr="004824ED">
              <w:rPr>
                <w:rFonts w:eastAsia="Calibri" w:cstheme="minorHAnsi"/>
                <w:sz w:val="18"/>
                <w:szCs w:val="18"/>
              </w:rPr>
              <w:t xml:space="preserve"> and collaborations that support people’s rights</w:t>
            </w:r>
          </w:p>
        </w:tc>
        <w:tc>
          <w:tcPr>
            <w:tcW w:w="7371" w:type="dxa"/>
            <w:shd w:val="clear" w:color="auto" w:fill="C2D1CB" w:themeFill="accent6" w:themeFillTint="66"/>
          </w:tcPr>
          <w:p w14:paraId="1D1DDEB5" w14:textId="57D11BCA" w:rsidR="00CD3B1E" w:rsidRPr="00201960" w:rsidRDefault="00201960" w:rsidP="00DC27EC">
            <w:pPr>
              <w:numPr>
                <w:ilvl w:val="0"/>
                <w:numId w:val="14"/>
              </w:numPr>
              <w:spacing w:before="40" w:after="40"/>
              <w:rPr>
                <w:rFonts w:eastAsia="Calibri" w:cstheme="minorHAnsi"/>
                <w:sz w:val="18"/>
                <w:szCs w:val="18"/>
              </w:rPr>
            </w:pPr>
            <w:r>
              <w:rPr>
                <w:rFonts w:eastAsia="Calibri" w:cstheme="minorHAnsi"/>
                <w:sz w:val="18"/>
                <w:szCs w:val="18"/>
              </w:rPr>
              <w:t>The development of</w:t>
            </w:r>
            <w:r w:rsidR="00CD3B1E" w:rsidRPr="00CD3B1E">
              <w:rPr>
                <w:rFonts w:eastAsia="Calibri" w:cstheme="minorHAnsi"/>
                <w:sz w:val="18"/>
                <w:szCs w:val="18"/>
              </w:rPr>
              <w:t xml:space="preserve"> partnerships</w:t>
            </w:r>
            <w:r>
              <w:rPr>
                <w:rFonts w:eastAsia="Calibri" w:cstheme="minorHAnsi"/>
                <w:sz w:val="18"/>
                <w:szCs w:val="18"/>
              </w:rPr>
              <w:t xml:space="preserve"> with new types of organisations</w:t>
            </w:r>
            <w:r w:rsidR="00CD3B1E" w:rsidRPr="00CD3B1E">
              <w:rPr>
                <w:rFonts w:eastAsia="Calibri" w:cstheme="minorHAnsi"/>
                <w:sz w:val="18"/>
                <w:szCs w:val="18"/>
              </w:rPr>
              <w:t xml:space="preserve"> such as social movements, private sector organisations or labour mar</w:t>
            </w:r>
            <w:r w:rsidR="00CD3B1E" w:rsidRPr="00201960">
              <w:rPr>
                <w:rFonts w:eastAsia="Calibri" w:cstheme="minorHAnsi"/>
                <w:sz w:val="18"/>
                <w:szCs w:val="18"/>
              </w:rPr>
              <w:t>ket organisations</w:t>
            </w:r>
          </w:p>
          <w:p w14:paraId="0D5A5A58" w14:textId="0280FCAE" w:rsidR="00042355" w:rsidRPr="00201960" w:rsidRDefault="00201960" w:rsidP="00DC27EC">
            <w:pPr>
              <w:numPr>
                <w:ilvl w:val="0"/>
                <w:numId w:val="14"/>
              </w:numPr>
              <w:spacing w:before="40" w:after="40"/>
              <w:rPr>
                <w:rFonts w:eastAsia="Calibri" w:cstheme="minorHAnsi"/>
                <w:sz w:val="18"/>
                <w:szCs w:val="18"/>
              </w:rPr>
            </w:pPr>
            <w:r w:rsidRPr="00201960">
              <w:rPr>
                <w:rFonts w:eastAsia="Calibri" w:cstheme="minorHAnsi"/>
                <w:sz w:val="18"/>
                <w:szCs w:val="18"/>
              </w:rPr>
              <w:t xml:space="preserve">The development of partnerships with </w:t>
            </w:r>
            <w:r>
              <w:rPr>
                <w:rFonts w:eastAsia="Calibri" w:cstheme="minorHAnsi"/>
                <w:sz w:val="18"/>
                <w:szCs w:val="18"/>
              </w:rPr>
              <w:t>different combinations of partners</w:t>
            </w:r>
          </w:p>
          <w:p w14:paraId="7DBE498D" w14:textId="77777777" w:rsidR="00201960" w:rsidRDefault="00201960" w:rsidP="00201960">
            <w:pPr>
              <w:numPr>
                <w:ilvl w:val="0"/>
                <w:numId w:val="14"/>
              </w:numPr>
              <w:spacing w:before="40" w:after="40"/>
              <w:rPr>
                <w:rFonts w:eastAsia="Calibri" w:cstheme="minorHAnsi"/>
                <w:sz w:val="18"/>
                <w:szCs w:val="18"/>
              </w:rPr>
            </w:pPr>
            <w:r w:rsidRPr="00201960">
              <w:rPr>
                <w:rFonts w:eastAsia="Calibri" w:cstheme="minorHAnsi"/>
                <w:sz w:val="18"/>
                <w:szCs w:val="18"/>
              </w:rPr>
              <w:t>Changes in the extent to which different groups collaborate or network</w:t>
            </w:r>
          </w:p>
          <w:p w14:paraId="1070E71C" w14:textId="0B3D7360" w:rsidR="00CD3B1E" w:rsidRPr="00CD3B1E" w:rsidRDefault="00201960" w:rsidP="00201960">
            <w:pPr>
              <w:numPr>
                <w:ilvl w:val="0"/>
                <w:numId w:val="14"/>
              </w:numPr>
              <w:spacing w:before="40" w:after="40"/>
              <w:rPr>
                <w:rFonts w:eastAsia="Calibri" w:cstheme="minorHAnsi"/>
                <w:sz w:val="18"/>
                <w:szCs w:val="18"/>
              </w:rPr>
            </w:pPr>
            <w:r w:rsidRPr="00201960">
              <w:rPr>
                <w:rFonts w:eastAsia="Calibri" w:cstheme="minorHAnsi"/>
                <w:sz w:val="18"/>
                <w:szCs w:val="18"/>
              </w:rPr>
              <w:t>Changes in the enabling environment for civil society in the Global South (with a verifiable contribution for the SPA partner and/or Southern partner)</w:t>
            </w:r>
          </w:p>
        </w:tc>
      </w:tr>
      <w:tr w:rsidR="00CD3B1E" w:rsidRPr="00CD3B1E" w14:paraId="01797A7B" w14:textId="77777777" w:rsidTr="00A43575">
        <w:tc>
          <w:tcPr>
            <w:tcW w:w="2972" w:type="dxa"/>
            <w:shd w:val="clear" w:color="auto" w:fill="E0E8E4" w:themeFill="accent6" w:themeFillTint="33"/>
          </w:tcPr>
          <w:p w14:paraId="10E4260C" w14:textId="7B3FCA9E" w:rsidR="00CD3B1E" w:rsidRPr="008F036A" w:rsidRDefault="008F036A" w:rsidP="00A43575">
            <w:pPr>
              <w:spacing w:before="40" w:after="40"/>
              <w:rPr>
                <w:rFonts w:eastAsia="Calibri" w:cstheme="minorHAnsi"/>
                <w:sz w:val="18"/>
                <w:szCs w:val="18"/>
              </w:rPr>
            </w:pPr>
            <w:r w:rsidRPr="008F036A">
              <w:rPr>
                <w:rFonts w:eastAsia="Calibri" w:cstheme="minorHAnsi"/>
                <w:sz w:val="18"/>
                <w:szCs w:val="18"/>
              </w:rPr>
              <w:t xml:space="preserve">Changes in the </w:t>
            </w:r>
            <w:r w:rsidRPr="008F036A">
              <w:rPr>
                <w:rFonts w:eastAsia="Calibri" w:cstheme="minorHAnsi"/>
                <w:b/>
                <w:bCs/>
                <w:sz w:val="18"/>
                <w:szCs w:val="18"/>
              </w:rPr>
              <w:t>participation</w:t>
            </w:r>
            <w:r w:rsidRPr="008F036A">
              <w:rPr>
                <w:rFonts w:eastAsia="Calibri" w:cstheme="minorHAnsi"/>
                <w:sz w:val="18"/>
                <w:szCs w:val="18"/>
              </w:rPr>
              <w:t xml:space="preserve"> of groups facing poverty, marginalisation or vulnerability in their own development</w:t>
            </w:r>
          </w:p>
        </w:tc>
        <w:tc>
          <w:tcPr>
            <w:tcW w:w="7371" w:type="dxa"/>
            <w:shd w:val="clear" w:color="auto" w:fill="E0E8E4" w:themeFill="accent6" w:themeFillTint="33"/>
          </w:tcPr>
          <w:p w14:paraId="1B944598" w14:textId="77777777" w:rsidR="00CD3B1E" w:rsidRPr="00CD3B1E" w:rsidRDefault="00CD3B1E" w:rsidP="00DC27EC">
            <w:pPr>
              <w:numPr>
                <w:ilvl w:val="0"/>
                <w:numId w:val="15"/>
              </w:numPr>
              <w:spacing w:before="40" w:after="40"/>
              <w:rPr>
                <w:rFonts w:eastAsia="Calibri" w:cstheme="minorHAnsi"/>
                <w:sz w:val="18"/>
                <w:szCs w:val="18"/>
              </w:rPr>
            </w:pPr>
            <w:r w:rsidRPr="00CD3B1E">
              <w:rPr>
                <w:rFonts w:eastAsia="Calibri" w:cstheme="minorHAnsi"/>
                <w:sz w:val="18"/>
                <w:szCs w:val="18"/>
              </w:rPr>
              <w:t>Changes in gender equality, or the way women and girls participate within a specified project</w:t>
            </w:r>
          </w:p>
          <w:p w14:paraId="223EAAA4" w14:textId="77777777" w:rsidR="00CD3B1E" w:rsidRPr="00CD3B1E" w:rsidRDefault="00CD3B1E" w:rsidP="00DC27EC">
            <w:pPr>
              <w:numPr>
                <w:ilvl w:val="0"/>
                <w:numId w:val="15"/>
              </w:numPr>
              <w:spacing w:before="40" w:after="40"/>
              <w:rPr>
                <w:rFonts w:eastAsia="Calibri" w:cstheme="minorHAnsi"/>
                <w:sz w:val="18"/>
                <w:szCs w:val="18"/>
              </w:rPr>
            </w:pPr>
            <w:r w:rsidRPr="00CD3B1E">
              <w:rPr>
                <w:rFonts w:eastAsia="Calibri" w:cstheme="minorHAnsi"/>
                <w:sz w:val="18"/>
                <w:szCs w:val="18"/>
              </w:rPr>
              <w:t>Changes in the involvement of a specified group within a region or country such as youth, People Living with Disabilities, or the LGBTIQ+ community</w:t>
            </w:r>
          </w:p>
          <w:p w14:paraId="592527EC" w14:textId="77777777" w:rsidR="00CD3B1E" w:rsidRPr="00CD3B1E" w:rsidRDefault="00CD3B1E" w:rsidP="00DC27EC">
            <w:pPr>
              <w:numPr>
                <w:ilvl w:val="0"/>
                <w:numId w:val="15"/>
              </w:numPr>
              <w:spacing w:before="40" w:after="40"/>
              <w:rPr>
                <w:rFonts w:eastAsia="Calibri" w:cstheme="minorHAnsi"/>
                <w:sz w:val="18"/>
                <w:szCs w:val="18"/>
              </w:rPr>
            </w:pPr>
            <w:r w:rsidRPr="00CD3B1E">
              <w:rPr>
                <w:rFonts w:eastAsia="Calibri" w:cstheme="minorHAnsi"/>
                <w:sz w:val="18"/>
                <w:szCs w:val="18"/>
              </w:rPr>
              <w:lastRenderedPageBreak/>
              <w:t>Changes in the way different groups participate resulting from a geographic or sectoral approach to more inclusive programming</w:t>
            </w:r>
          </w:p>
        </w:tc>
      </w:tr>
      <w:tr w:rsidR="00CD3B1E" w:rsidRPr="00CD3B1E" w14:paraId="09AE1FB5" w14:textId="77777777" w:rsidTr="00A43575">
        <w:tc>
          <w:tcPr>
            <w:tcW w:w="2972" w:type="dxa"/>
            <w:shd w:val="clear" w:color="auto" w:fill="C2D1CB" w:themeFill="accent6" w:themeFillTint="66"/>
          </w:tcPr>
          <w:p w14:paraId="2C5C69D2" w14:textId="1032265C" w:rsidR="00CD3B1E" w:rsidRPr="00CD3B1E" w:rsidRDefault="004824ED" w:rsidP="00A43575">
            <w:pPr>
              <w:spacing w:before="40" w:after="40"/>
              <w:rPr>
                <w:rFonts w:eastAsia="Calibri" w:cstheme="minorHAnsi"/>
                <w:sz w:val="18"/>
                <w:szCs w:val="18"/>
              </w:rPr>
            </w:pPr>
            <w:r w:rsidRPr="004824ED">
              <w:rPr>
                <w:rFonts w:eastAsia="Calibri" w:cstheme="minorHAnsi"/>
                <w:sz w:val="18"/>
                <w:szCs w:val="18"/>
              </w:rPr>
              <w:lastRenderedPageBreak/>
              <w:t xml:space="preserve">Changes in </w:t>
            </w:r>
            <w:r w:rsidRPr="008F036A">
              <w:rPr>
                <w:rFonts w:eastAsia="Calibri" w:cstheme="minorHAnsi"/>
                <w:b/>
                <w:bCs/>
                <w:sz w:val="18"/>
                <w:szCs w:val="18"/>
              </w:rPr>
              <w:t>local leadership</w:t>
            </w:r>
            <w:r w:rsidRPr="004824ED">
              <w:rPr>
                <w:rFonts w:eastAsia="Calibri" w:cstheme="minorHAnsi"/>
                <w:sz w:val="18"/>
                <w:szCs w:val="18"/>
              </w:rPr>
              <w:t xml:space="preserve"> and ownership of development and humanitarian work</w:t>
            </w:r>
          </w:p>
        </w:tc>
        <w:tc>
          <w:tcPr>
            <w:tcW w:w="7371" w:type="dxa"/>
            <w:shd w:val="clear" w:color="auto" w:fill="C2D1CB" w:themeFill="accent6" w:themeFillTint="66"/>
          </w:tcPr>
          <w:p w14:paraId="70546C69" w14:textId="77777777" w:rsidR="00CD3B1E" w:rsidRPr="00CD3B1E" w:rsidRDefault="00CD3B1E" w:rsidP="00DC27EC">
            <w:pPr>
              <w:numPr>
                <w:ilvl w:val="0"/>
                <w:numId w:val="16"/>
              </w:numPr>
              <w:spacing w:before="40" w:after="40"/>
              <w:rPr>
                <w:rFonts w:eastAsia="Calibri" w:cstheme="minorHAnsi"/>
                <w:sz w:val="18"/>
                <w:szCs w:val="18"/>
              </w:rPr>
            </w:pPr>
            <w:r w:rsidRPr="00CD3B1E">
              <w:rPr>
                <w:rFonts w:eastAsia="Calibri" w:cstheme="minorHAnsi"/>
                <w:sz w:val="18"/>
                <w:szCs w:val="18"/>
              </w:rPr>
              <w:t>Changes in the way a Southern partner or local groups are funded or receive support</w:t>
            </w:r>
          </w:p>
          <w:p w14:paraId="71CFFCA7" w14:textId="77777777" w:rsidR="00CD3B1E" w:rsidRPr="00CD3B1E" w:rsidRDefault="00CD3B1E" w:rsidP="00DC27EC">
            <w:pPr>
              <w:numPr>
                <w:ilvl w:val="0"/>
                <w:numId w:val="16"/>
              </w:numPr>
              <w:spacing w:before="40" w:after="40"/>
              <w:rPr>
                <w:rFonts w:eastAsia="Calibri" w:cstheme="minorHAnsi"/>
                <w:sz w:val="18"/>
                <w:szCs w:val="18"/>
              </w:rPr>
            </w:pPr>
            <w:r w:rsidRPr="00CD3B1E">
              <w:rPr>
                <w:rFonts w:eastAsia="Calibri" w:cstheme="minorHAnsi"/>
                <w:sz w:val="18"/>
                <w:szCs w:val="18"/>
              </w:rPr>
              <w:t>Changes in the way a partner or group of partners participate in development or humanitarian efforts</w:t>
            </w:r>
          </w:p>
          <w:p w14:paraId="531C88AE" w14:textId="77777777" w:rsidR="00CD3B1E" w:rsidRPr="00CD3B1E" w:rsidRDefault="00CD3B1E" w:rsidP="00DC27EC">
            <w:pPr>
              <w:numPr>
                <w:ilvl w:val="0"/>
                <w:numId w:val="16"/>
              </w:numPr>
              <w:spacing w:before="40" w:after="40"/>
              <w:rPr>
                <w:rFonts w:eastAsia="Calibri" w:cstheme="minorHAnsi"/>
                <w:sz w:val="18"/>
                <w:szCs w:val="18"/>
              </w:rPr>
            </w:pPr>
            <w:r w:rsidRPr="00CD3B1E">
              <w:rPr>
                <w:rFonts w:eastAsia="Calibri" w:cstheme="minorHAnsi"/>
                <w:sz w:val="18"/>
                <w:szCs w:val="18"/>
              </w:rPr>
              <w:t>Changes in the way an SPA partner supports local leadership or localisation</w:t>
            </w:r>
          </w:p>
          <w:p w14:paraId="08B4585A" w14:textId="77777777" w:rsidR="00CD3B1E" w:rsidRPr="00CD3B1E" w:rsidRDefault="00CD3B1E" w:rsidP="00DC27EC">
            <w:pPr>
              <w:numPr>
                <w:ilvl w:val="0"/>
                <w:numId w:val="16"/>
              </w:numPr>
              <w:spacing w:before="40" w:after="40"/>
              <w:rPr>
                <w:rFonts w:eastAsia="Calibri" w:cstheme="minorHAnsi"/>
                <w:sz w:val="18"/>
                <w:szCs w:val="18"/>
              </w:rPr>
            </w:pPr>
            <w:r w:rsidRPr="00CD3B1E">
              <w:rPr>
                <w:rFonts w:eastAsia="Calibri" w:cstheme="minorHAnsi"/>
                <w:sz w:val="18"/>
                <w:szCs w:val="18"/>
              </w:rPr>
              <w:t>Changes in the way a Southern partner is able to engage with national and international stakeholders.</w:t>
            </w:r>
          </w:p>
        </w:tc>
      </w:tr>
    </w:tbl>
    <w:p w14:paraId="3788A6A0" w14:textId="77777777" w:rsidR="00492373" w:rsidRDefault="00492373" w:rsidP="00A43575">
      <w:pPr>
        <w:spacing w:after="120"/>
        <w:rPr>
          <w:rFonts w:eastAsia="Calibri" w:cstheme="minorHAnsi"/>
          <w:szCs w:val="20"/>
        </w:rPr>
      </w:pPr>
    </w:p>
    <w:p w14:paraId="1A737990" w14:textId="5FBF52D1" w:rsidR="00512809" w:rsidRDefault="00980CF7" w:rsidP="00CD3B1E">
      <w:pPr>
        <w:spacing w:after="0"/>
        <w:rPr>
          <w:rFonts w:eastAsia="Calibri" w:cstheme="minorHAnsi"/>
          <w:b/>
          <w:bCs/>
          <w:i/>
          <w:iCs/>
          <w:color w:val="35463E" w:themeColor="accent6" w:themeShade="80"/>
          <w:sz w:val="24"/>
          <w:szCs w:val="24"/>
        </w:rPr>
      </w:pPr>
      <w:bookmarkStart w:id="2" w:name="_Hlk105489679"/>
      <w:r>
        <w:rPr>
          <w:rFonts w:eastAsia="Calibri" w:cstheme="minorHAnsi"/>
          <w:b/>
          <w:bCs/>
          <w:i/>
          <w:iCs/>
          <w:color w:val="35463E" w:themeColor="accent6" w:themeShade="80"/>
          <w:sz w:val="24"/>
          <w:szCs w:val="24"/>
        </w:rPr>
        <w:t>Should case studies</w:t>
      </w:r>
      <w:r w:rsidR="00492373">
        <w:rPr>
          <w:rFonts w:eastAsia="Calibri" w:cstheme="minorHAnsi"/>
          <w:b/>
          <w:bCs/>
          <w:i/>
          <w:iCs/>
          <w:color w:val="35463E" w:themeColor="accent6" w:themeShade="80"/>
          <w:sz w:val="24"/>
          <w:szCs w:val="24"/>
        </w:rPr>
        <w:t xml:space="preserve"> focus on changes resulting from work carried out in the </w:t>
      </w:r>
      <w:r>
        <w:rPr>
          <w:rFonts w:eastAsia="Calibri" w:cstheme="minorHAnsi"/>
          <w:b/>
          <w:bCs/>
          <w:i/>
          <w:iCs/>
          <w:color w:val="35463E" w:themeColor="accent6" w:themeShade="80"/>
          <w:sz w:val="24"/>
          <w:szCs w:val="24"/>
        </w:rPr>
        <w:t>current SPA strategic period?</w:t>
      </w:r>
    </w:p>
    <w:p w14:paraId="54CFB372" w14:textId="4BF15A30" w:rsidR="00EA2D71" w:rsidRDefault="00980CF7" w:rsidP="00327A55">
      <w:pPr>
        <w:rPr>
          <w:rFonts w:eastAsia="Calibri" w:cstheme="minorHAnsi"/>
          <w:b/>
          <w:bCs/>
          <w:i/>
          <w:iCs/>
          <w:color w:val="35463E" w:themeColor="accent6" w:themeShade="80"/>
          <w:sz w:val="24"/>
          <w:szCs w:val="24"/>
        </w:rPr>
      </w:pPr>
      <w:r w:rsidRPr="00980CF7">
        <w:rPr>
          <w:rFonts w:eastAsia="Calibri" w:cstheme="minorHAnsi"/>
          <w:szCs w:val="20"/>
        </w:rPr>
        <w:t>It is accepted that changes identified in the current SPA period</w:t>
      </w:r>
      <w:r>
        <w:rPr>
          <w:rFonts w:eastAsia="Calibri" w:cstheme="minorHAnsi"/>
          <w:szCs w:val="20"/>
        </w:rPr>
        <w:t xml:space="preserve"> may </w:t>
      </w:r>
      <w:r w:rsidR="00492373">
        <w:rPr>
          <w:rFonts w:eastAsia="Calibri" w:cstheme="minorHAnsi"/>
          <w:szCs w:val="20"/>
        </w:rPr>
        <w:t xml:space="preserve">sometimes </w:t>
      </w:r>
      <w:r>
        <w:rPr>
          <w:rFonts w:eastAsia="Calibri" w:cstheme="minorHAnsi"/>
          <w:szCs w:val="20"/>
        </w:rPr>
        <w:t xml:space="preserve">be partly or largely the result of work carried out in previous strategic periods. </w:t>
      </w:r>
      <w:r w:rsidRPr="00980CF7">
        <w:rPr>
          <w:rFonts w:eastAsia="Calibri" w:cstheme="minorHAnsi"/>
          <w:szCs w:val="20"/>
        </w:rPr>
        <w:t>However, it is important that cases reflect up-to-date knowledge</w:t>
      </w:r>
      <w:r>
        <w:rPr>
          <w:rFonts w:eastAsia="Calibri" w:cstheme="minorHAnsi"/>
          <w:szCs w:val="20"/>
        </w:rPr>
        <w:t>,</w:t>
      </w:r>
      <w:r w:rsidRPr="00980CF7">
        <w:rPr>
          <w:rFonts w:eastAsia="Calibri" w:cstheme="minorHAnsi"/>
          <w:szCs w:val="20"/>
        </w:rPr>
        <w:t xml:space="preserve"> and do not merely refer to changes that have been known for several years</w:t>
      </w:r>
      <w:r w:rsidR="00492373">
        <w:rPr>
          <w:rFonts w:eastAsia="Calibri" w:cstheme="minorHAnsi"/>
          <w:szCs w:val="20"/>
        </w:rPr>
        <w:t>. In addition, there needs to be a link to current work (e.g. a policy change where work is ongoing to support implementation of the policy, or changes in a partnership where the Danish CSO remains an active partner).</w:t>
      </w:r>
      <w:bookmarkEnd w:id="2"/>
    </w:p>
    <w:p w14:paraId="4C5E766B" w14:textId="5F04C392" w:rsidR="00AA4A32" w:rsidRDefault="004824ED" w:rsidP="00CD3B1E">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H</w:t>
      </w:r>
      <w:r w:rsidR="00AA4A32">
        <w:rPr>
          <w:rFonts w:eastAsia="Calibri" w:cstheme="minorHAnsi"/>
          <w:b/>
          <w:bCs/>
          <w:i/>
          <w:iCs/>
          <w:color w:val="35463E" w:themeColor="accent6" w:themeShade="80"/>
          <w:sz w:val="24"/>
          <w:szCs w:val="24"/>
        </w:rPr>
        <w:t>ow broad or specific should cases be?</w:t>
      </w:r>
    </w:p>
    <w:p w14:paraId="5208E09D" w14:textId="24D15697" w:rsidR="00AA4A32" w:rsidRDefault="00AA4A32" w:rsidP="00AA4A32">
      <w:pPr>
        <w:spacing w:after="0"/>
        <w:rPr>
          <w:rFonts w:eastAsia="Calibri" w:cstheme="minorHAnsi"/>
          <w:szCs w:val="20"/>
        </w:rPr>
      </w:pPr>
      <w:r>
        <w:rPr>
          <w:rFonts w:eastAsia="Calibri" w:cstheme="minorHAnsi"/>
          <w:szCs w:val="20"/>
        </w:rPr>
        <w:t>Whilst it is expected that many of the cases will focus on individual partners, projects, programmes or policies, c</w:t>
      </w:r>
      <w:r w:rsidRPr="00AA4A32">
        <w:rPr>
          <w:rFonts w:eastAsia="Calibri" w:cstheme="minorHAnsi"/>
          <w:szCs w:val="20"/>
        </w:rPr>
        <w:t xml:space="preserve">ases </w:t>
      </w:r>
      <w:r>
        <w:rPr>
          <w:rFonts w:eastAsia="Calibri" w:cstheme="minorHAnsi"/>
          <w:szCs w:val="20"/>
        </w:rPr>
        <w:t>may be broader in some contexts</w:t>
      </w:r>
      <w:r w:rsidRPr="00AA4A32">
        <w:rPr>
          <w:rFonts w:eastAsia="Calibri" w:cstheme="minorHAnsi"/>
          <w:szCs w:val="20"/>
        </w:rPr>
        <w:t>. Cases may, for example, focus on approaches used in multiple contexts or locations</w:t>
      </w:r>
      <w:r>
        <w:rPr>
          <w:rFonts w:eastAsia="Calibri" w:cstheme="minorHAnsi"/>
          <w:szCs w:val="20"/>
        </w:rPr>
        <w:t>. The key issue is that they should be based around change</w:t>
      </w:r>
      <w:r w:rsidRPr="00AA4A32">
        <w:rPr>
          <w:rFonts w:eastAsia="Calibri" w:cstheme="minorHAnsi"/>
          <w:szCs w:val="20"/>
        </w:rPr>
        <w:t xml:space="preserve"> and not just activities</w:t>
      </w:r>
      <w:r>
        <w:rPr>
          <w:rFonts w:eastAsia="Calibri" w:cstheme="minorHAnsi"/>
          <w:szCs w:val="20"/>
        </w:rPr>
        <w:t>. For example, it would be valid to base case</w:t>
      </w:r>
      <w:r w:rsidR="00201960">
        <w:rPr>
          <w:rFonts w:eastAsia="Calibri" w:cstheme="minorHAnsi"/>
          <w:szCs w:val="20"/>
        </w:rPr>
        <w:t xml:space="preserve"> </w:t>
      </w:r>
      <w:r>
        <w:rPr>
          <w:rFonts w:eastAsia="Calibri" w:cstheme="minorHAnsi"/>
          <w:szCs w:val="20"/>
        </w:rPr>
        <w:t>s</w:t>
      </w:r>
      <w:r w:rsidR="00201960">
        <w:rPr>
          <w:rFonts w:eastAsia="Calibri" w:cstheme="minorHAnsi"/>
          <w:szCs w:val="20"/>
        </w:rPr>
        <w:t>tudies</w:t>
      </w:r>
      <w:r>
        <w:rPr>
          <w:rFonts w:eastAsia="Calibri" w:cstheme="minorHAnsi"/>
          <w:szCs w:val="20"/>
        </w:rPr>
        <w:t xml:space="preserve"> around:</w:t>
      </w:r>
    </w:p>
    <w:p w14:paraId="02AEF868" w14:textId="722026A7" w:rsidR="00AA4A32" w:rsidRPr="00AA4A32" w:rsidRDefault="00E4617F" w:rsidP="00DC27EC">
      <w:pPr>
        <w:pStyle w:val="ListParagraph"/>
        <w:numPr>
          <w:ilvl w:val="0"/>
          <w:numId w:val="18"/>
        </w:numPr>
        <w:spacing w:after="120"/>
        <w:ind w:left="714" w:hanging="357"/>
        <w:rPr>
          <w:rFonts w:eastAsia="Calibri" w:cstheme="minorHAnsi"/>
          <w:szCs w:val="20"/>
        </w:rPr>
      </w:pPr>
      <w:r>
        <w:rPr>
          <w:rFonts w:eastAsia="Calibri" w:cstheme="minorHAnsi"/>
          <w:szCs w:val="20"/>
        </w:rPr>
        <w:t>how SPA and Southern partner work is helping to bring</w:t>
      </w:r>
      <w:r w:rsidR="00AA4A32" w:rsidRPr="00AA4A32">
        <w:rPr>
          <w:rFonts w:eastAsia="Calibri" w:cstheme="minorHAnsi"/>
          <w:szCs w:val="20"/>
        </w:rPr>
        <w:t xml:space="preserve"> about </w:t>
      </w:r>
      <w:r>
        <w:rPr>
          <w:rFonts w:eastAsia="Calibri" w:cstheme="minorHAnsi"/>
          <w:szCs w:val="20"/>
        </w:rPr>
        <w:t xml:space="preserve">a certain kind of </w:t>
      </w:r>
      <w:r w:rsidR="00AA4A32" w:rsidRPr="00AA4A32">
        <w:rPr>
          <w:rFonts w:eastAsia="Calibri" w:cstheme="minorHAnsi"/>
          <w:szCs w:val="20"/>
        </w:rPr>
        <w:t xml:space="preserve">change </w:t>
      </w:r>
      <w:r>
        <w:rPr>
          <w:rFonts w:eastAsia="Calibri" w:cstheme="minorHAnsi"/>
          <w:szCs w:val="20"/>
        </w:rPr>
        <w:t xml:space="preserve">(such as </w:t>
      </w:r>
      <w:r w:rsidR="00201960">
        <w:rPr>
          <w:rFonts w:eastAsia="Calibri" w:cstheme="minorHAnsi"/>
          <w:szCs w:val="20"/>
        </w:rPr>
        <w:t xml:space="preserve">a </w:t>
      </w:r>
      <w:r>
        <w:rPr>
          <w:rFonts w:eastAsia="Calibri" w:cstheme="minorHAnsi"/>
          <w:szCs w:val="20"/>
        </w:rPr>
        <w:t xml:space="preserve">change </w:t>
      </w:r>
      <w:r w:rsidR="00AA4A32" w:rsidRPr="00AA4A32">
        <w:rPr>
          <w:rFonts w:eastAsia="Calibri" w:cstheme="minorHAnsi"/>
          <w:szCs w:val="20"/>
        </w:rPr>
        <w:t>in women</w:t>
      </w:r>
      <w:r w:rsidR="00201960">
        <w:rPr>
          <w:rFonts w:eastAsia="Calibri" w:cstheme="minorHAnsi"/>
          <w:szCs w:val="20"/>
        </w:rPr>
        <w:t>’s</w:t>
      </w:r>
      <w:r w:rsidR="00AA4A32" w:rsidRPr="00AA4A32">
        <w:rPr>
          <w:rFonts w:eastAsia="Calibri" w:cstheme="minorHAnsi"/>
          <w:szCs w:val="20"/>
        </w:rPr>
        <w:t xml:space="preserve"> representation</w:t>
      </w:r>
      <w:r>
        <w:rPr>
          <w:rFonts w:eastAsia="Calibri" w:cstheme="minorHAnsi"/>
          <w:szCs w:val="20"/>
        </w:rPr>
        <w:t>)</w:t>
      </w:r>
      <w:r w:rsidR="00AA4A32" w:rsidRPr="00AA4A32">
        <w:rPr>
          <w:rFonts w:eastAsia="Calibri" w:cstheme="minorHAnsi"/>
          <w:szCs w:val="20"/>
        </w:rPr>
        <w:t xml:space="preserve"> across a range o</w:t>
      </w:r>
      <w:r>
        <w:rPr>
          <w:rFonts w:eastAsia="Calibri" w:cstheme="minorHAnsi"/>
          <w:szCs w:val="20"/>
        </w:rPr>
        <w:t>f</w:t>
      </w:r>
      <w:r w:rsidR="00AA4A32" w:rsidRPr="00AA4A32">
        <w:rPr>
          <w:rFonts w:eastAsia="Calibri" w:cstheme="minorHAnsi"/>
          <w:szCs w:val="20"/>
        </w:rPr>
        <w:t xml:space="preserve"> organisations in different countries (possibly with some comparison of where this has been more/less successful)</w:t>
      </w:r>
      <w:r>
        <w:rPr>
          <w:rFonts w:eastAsia="Calibri" w:cstheme="minorHAnsi"/>
          <w:szCs w:val="20"/>
        </w:rPr>
        <w:t>;</w:t>
      </w:r>
    </w:p>
    <w:p w14:paraId="0D7C63F5" w14:textId="011BFD27" w:rsidR="00AA4A32" w:rsidRPr="00AA4A32" w:rsidRDefault="00E4617F" w:rsidP="00DC27EC">
      <w:pPr>
        <w:pStyle w:val="ListParagraph"/>
        <w:numPr>
          <w:ilvl w:val="0"/>
          <w:numId w:val="18"/>
        </w:numPr>
        <w:spacing w:after="120"/>
        <w:ind w:left="714" w:hanging="357"/>
        <w:rPr>
          <w:rFonts w:eastAsia="Calibri" w:cstheme="minorHAnsi"/>
          <w:szCs w:val="20"/>
        </w:rPr>
      </w:pPr>
      <w:r>
        <w:rPr>
          <w:rFonts w:eastAsia="Calibri" w:cstheme="minorHAnsi"/>
          <w:szCs w:val="20"/>
        </w:rPr>
        <w:t xml:space="preserve">how a specific approach is being </w:t>
      </w:r>
      <w:r w:rsidR="00AA4A32" w:rsidRPr="00AA4A32">
        <w:rPr>
          <w:rFonts w:eastAsia="Calibri" w:cstheme="minorHAnsi"/>
          <w:szCs w:val="20"/>
        </w:rPr>
        <w:t>successfully promot</w:t>
      </w:r>
      <w:r>
        <w:rPr>
          <w:rFonts w:eastAsia="Calibri" w:cstheme="minorHAnsi"/>
          <w:szCs w:val="20"/>
        </w:rPr>
        <w:t>ed</w:t>
      </w:r>
      <w:r w:rsidR="00AA4A32" w:rsidRPr="00AA4A32">
        <w:rPr>
          <w:rFonts w:eastAsia="Calibri" w:cstheme="minorHAnsi"/>
          <w:szCs w:val="20"/>
        </w:rPr>
        <w:t xml:space="preserve"> across a range of countries, focusing on the nature of the services and the changes they bring about, as well as stating </w:t>
      </w:r>
      <w:r>
        <w:rPr>
          <w:rFonts w:eastAsia="Calibri" w:cstheme="minorHAnsi"/>
          <w:szCs w:val="20"/>
        </w:rPr>
        <w:t xml:space="preserve">the </w:t>
      </w:r>
      <w:r w:rsidR="00AA4A32" w:rsidRPr="00AA4A32">
        <w:rPr>
          <w:rFonts w:eastAsia="Calibri" w:cstheme="minorHAnsi"/>
          <w:szCs w:val="20"/>
        </w:rPr>
        <w:t>scale of support</w:t>
      </w:r>
      <w:r>
        <w:rPr>
          <w:rFonts w:eastAsia="Calibri" w:cstheme="minorHAnsi"/>
          <w:szCs w:val="20"/>
        </w:rPr>
        <w:t>; or</w:t>
      </w:r>
    </w:p>
    <w:p w14:paraId="1C6F9EC3" w14:textId="29CB607D" w:rsidR="00AA4A32" w:rsidRDefault="00E4617F" w:rsidP="00DC27EC">
      <w:pPr>
        <w:pStyle w:val="ListParagraph"/>
        <w:numPr>
          <w:ilvl w:val="0"/>
          <w:numId w:val="18"/>
        </w:numPr>
        <w:spacing w:after="120"/>
        <w:ind w:left="714" w:hanging="357"/>
        <w:rPr>
          <w:rFonts w:eastAsia="Calibri" w:cstheme="minorHAnsi"/>
          <w:szCs w:val="20"/>
        </w:rPr>
      </w:pPr>
      <w:r>
        <w:rPr>
          <w:rFonts w:eastAsia="Calibri" w:cstheme="minorHAnsi"/>
          <w:szCs w:val="20"/>
        </w:rPr>
        <w:t>how policy is changing, or beginning to change,</w:t>
      </w:r>
      <w:r w:rsidR="00AA4A32" w:rsidRPr="00AA4A32">
        <w:rPr>
          <w:rFonts w:eastAsia="Calibri" w:cstheme="minorHAnsi"/>
          <w:szCs w:val="20"/>
        </w:rPr>
        <w:t xml:space="preserve"> in multiple settings but according to a common theme, such as transformative education, peacebuilding or economic justice</w:t>
      </w:r>
      <w:r>
        <w:rPr>
          <w:rFonts w:eastAsia="Calibri" w:cstheme="minorHAnsi"/>
          <w:szCs w:val="20"/>
        </w:rPr>
        <w:t>.</w:t>
      </w:r>
    </w:p>
    <w:p w14:paraId="7A417266" w14:textId="41A5E38D" w:rsidR="00E4617F" w:rsidRPr="00E4617F" w:rsidRDefault="00E4617F" w:rsidP="00492373">
      <w:pPr>
        <w:rPr>
          <w:rFonts w:eastAsia="Calibri" w:cstheme="minorHAnsi"/>
          <w:szCs w:val="20"/>
        </w:rPr>
      </w:pPr>
      <w:r>
        <w:rPr>
          <w:rFonts w:eastAsia="Calibri" w:cstheme="minorHAnsi"/>
          <w:szCs w:val="20"/>
        </w:rPr>
        <w:t xml:space="preserve">However, case studies should </w:t>
      </w:r>
      <w:r w:rsidRPr="000C2FAA">
        <w:rPr>
          <w:rFonts w:eastAsia="Calibri" w:cstheme="minorHAnsi"/>
          <w:szCs w:val="20"/>
          <w:u w:val="single"/>
        </w:rPr>
        <w:t>not primarily focus</w:t>
      </w:r>
      <w:r>
        <w:rPr>
          <w:rFonts w:eastAsia="Calibri" w:cstheme="minorHAnsi"/>
          <w:szCs w:val="20"/>
        </w:rPr>
        <w:t xml:space="preserve"> on individual people, families or communities. These could be used to illustrate change, but should not be the focus of the case study.</w:t>
      </w:r>
      <w:r w:rsidR="000C2FAA">
        <w:rPr>
          <w:rFonts w:eastAsia="Calibri" w:cstheme="minorHAnsi"/>
          <w:szCs w:val="20"/>
        </w:rPr>
        <w:t xml:space="preserve"> Individual changes should always be located in the wider context.</w:t>
      </w:r>
    </w:p>
    <w:p w14:paraId="57BB7C6A" w14:textId="0415C3E5" w:rsidR="00CD3B1E" w:rsidRPr="00C5341D" w:rsidRDefault="00CD3B1E" w:rsidP="00CD3B1E">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How should SPA partners select the case studies</w:t>
      </w:r>
      <w:r w:rsidRPr="00C5341D">
        <w:rPr>
          <w:rFonts w:eastAsia="Calibri" w:cstheme="minorHAnsi"/>
          <w:b/>
          <w:bCs/>
          <w:i/>
          <w:iCs/>
          <w:color w:val="35463E" w:themeColor="accent6" w:themeShade="80"/>
          <w:sz w:val="24"/>
          <w:szCs w:val="24"/>
        </w:rPr>
        <w:t>?</w:t>
      </w:r>
    </w:p>
    <w:p w14:paraId="4ABB6EE9" w14:textId="241A04E5" w:rsidR="005C5F4C" w:rsidRDefault="005C5F4C" w:rsidP="00E73893">
      <w:pPr>
        <w:spacing w:after="120"/>
        <w:rPr>
          <w:rFonts w:eastAsia="Calibri" w:cstheme="minorHAnsi"/>
          <w:szCs w:val="20"/>
        </w:rPr>
      </w:pPr>
      <w:r w:rsidRPr="009759CF">
        <w:rPr>
          <w:rFonts w:eastAsia="Calibri" w:cstheme="minorHAnsi"/>
          <w:szCs w:val="20"/>
        </w:rPr>
        <w:t>Broadly speaking, SPA partners</w:t>
      </w:r>
      <w:r w:rsidR="00A43575">
        <w:rPr>
          <w:rFonts w:eastAsia="Calibri" w:cstheme="minorHAnsi"/>
          <w:szCs w:val="20"/>
        </w:rPr>
        <w:t xml:space="preserve"> are</w:t>
      </w:r>
      <w:r w:rsidRPr="009759CF">
        <w:rPr>
          <w:rFonts w:eastAsia="Calibri" w:cstheme="minorHAnsi"/>
          <w:szCs w:val="20"/>
        </w:rPr>
        <w:t xml:space="preserve"> encouraged to select cases that represent their most interesting work, especially with regard to the changes th</w:t>
      </w:r>
      <w:r w:rsidR="00F70CE9">
        <w:rPr>
          <w:rFonts w:eastAsia="Calibri" w:cstheme="minorHAnsi"/>
          <w:szCs w:val="20"/>
        </w:rPr>
        <w:t>at</w:t>
      </w:r>
      <w:r w:rsidRPr="009759CF">
        <w:rPr>
          <w:rFonts w:eastAsia="Calibri" w:cstheme="minorHAnsi"/>
          <w:szCs w:val="20"/>
        </w:rPr>
        <w:t xml:space="preserve"> work has contributed to. The cases </w:t>
      </w:r>
      <w:r w:rsidR="00BB5449">
        <w:rPr>
          <w:rFonts w:eastAsia="Calibri" w:cstheme="minorHAnsi"/>
          <w:szCs w:val="20"/>
        </w:rPr>
        <w:t>should</w:t>
      </w:r>
      <w:r w:rsidRPr="009759CF">
        <w:rPr>
          <w:rFonts w:eastAsia="Calibri" w:cstheme="minorHAnsi"/>
          <w:szCs w:val="20"/>
        </w:rPr>
        <w:t xml:space="preserve"> be purposefully sampled – meaning they </w:t>
      </w:r>
      <w:r w:rsidR="00BB5449">
        <w:rPr>
          <w:rFonts w:eastAsia="Calibri" w:cstheme="minorHAnsi"/>
          <w:szCs w:val="20"/>
        </w:rPr>
        <w:t>are</w:t>
      </w:r>
      <w:r w:rsidRPr="009759CF">
        <w:rPr>
          <w:rFonts w:eastAsia="Calibri" w:cstheme="minorHAnsi"/>
          <w:szCs w:val="20"/>
        </w:rPr>
        <w:t xml:space="preserve"> chosen because they are the most information-rich.</w:t>
      </w:r>
      <w:r w:rsidRPr="009759CF">
        <w:rPr>
          <w:rFonts w:eastAsia="Calibri" w:cstheme="minorHAnsi"/>
          <w:szCs w:val="20"/>
          <w:vertAlign w:val="superscript"/>
        </w:rPr>
        <w:footnoteReference w:id="3"/>
      </w:r>
      <w:r w:rsidRPr="009759CF">
        <w:rPr>
          <w:rFonts w:eastAsia="Calibri" w:cstheme="minorHAnsi"/>
          <w:szCs w:val="20"/>
        </w:rPr>
        <w:t xml:space="preserve"> Some common ways of doing purposeful sampling are included in </w:t>
      </w:r>
      <w:r w:rsidR="00F70CE9">
        <w:rPr>
          <w:rFonts w:eastAsia="Calibri" w:cstheme="minorHAnsi"/>
          <w:szCs w:val="20"/>
        </w:rPr>
        <w:t xml:space="preserve">table </w:t>
      </w:r>
      <w:r w:rsidR="005B75AC">
        <w:rPr>
          <w:rFonts w:eastAsia="Calibri" w:cstheme="minorHAnsi"/>
          <w:szCs w:val="20"/>
        </w:rPr>
        <w:t>3 below</w:t>
      </w:r>
      <w:r w:rsidRPr="009759CF">
        <w:rPr>
          <w:rFonts w:eastAsia="Calibri" w:cstheme="minorHAnsi"/>
          <w:szCs w:val="20"/>
        </w:rPr>
        <w:t>, but again these are only suggestions of how SPA partners might select the cases.</w:t>
      </w:r>
      <w:r w:rsidRPr="009759CF">
        <w:rPr>
          <w:rFonts w:eastAsia="Calibri" w:cstheme="minorHAnsi"/>
          <w:szCs w:val="20"/>
          <w:vertAlign w:val="superscript"/>
        </w:rPr>
        <w:footnoteReference w:id="4"/>
      </w:r>
      <w:r w:rsidR="00616AD4">
        <w:rPr>
          <w:rFonts w:eastAsia="Calibri" w:cstheme="minorHAnsi"/>
          <w:szCs w:val="20"/>
        </w:rPr>
        <w:t xml:space="preserve"> </w:t>
      </w:r>
      <w:r w:rsidR="00616AD4">
        <w:rPr>
          <w:rStyle w:val="FootnoteReference"/>
          <w:rFonts w:eastAsia="Calibri" w:cstheme="minorHAnsi"/>
          <w:szCs w:val="20"/>
        </w:rPr>
        <w:footnoteReference w:id="5"/>
      </w:r>
      <w:r w:rsidR="00BB5449">
        <w:rPr>
          <w:rFonts w:eastAsia="Calibri" w:cstheme="minorHAnsi"/>
          <w:szCs w:val="20"/>
        </w:rPr>
        <w:t xml:space="preserve"> </w:t>
      </w:r>
      <w:r w:rsidR="00BB5449" w:rsidRPr="00BB5449">
        <w:rPr>
          <w:rFonts w:eastAsia="Calibri" w:cstheme="minorHAnsi"/>
          <w:szCs w:val="20"/>
        </w:rPr>
        <w:t xml:space="preserve">It is expected that many of the cases will be ‘high impact </w:t>
      </w:r>
      <w:r w:rsidR="00BB5449">
        <w:rPr>
          <w:rFonts w:eastAsia="Calibri" w:cstheme="minorHAnsi"/>
          <w:szCs w:val="20"/>
        </w:rPr>
        <w:t xml:space="preserve">(best) </w:t>
      </w:r>
      <w:r w:rsidR="00BB5449" w:rsidRPr="00BB5449">
        <w:rPr>
          <w:rFonts w:eastAsia="Calibri" w:cstheme="minorHAnsi"/>
          <w:szCs w:val="20"/>
        </w:rPr>
        <w:t>cases’. But SPA partners will also be encouraged to produce some case studies based on other sampling criteria. However, there will be no fixed requirements.</w:t>
      </w:r>
    </w:p>
    <w:p w14:paraId="153A931F" w14:textId="77777777" w:rsidR="005B75AC" w:rsidRDefault="005B75AC" w:rsidP="00E73893">
      <w:pPr>
        <w:spacing w:after="120"/>
        <w:rPr>
          <w:rFonts w:eastAsia="Calibri" w:cstheme="minorHAnsi"/>
          <w:szCs w:val="20"/>
        </w:rPr>
      </w:pPr>
    </w:p>
    <w:p w14:paraId="4A17AAC1" w14:textId="77777777" w:rsidR="00A02722" w:rsidRDefault="00A02722" w:rsidP="00A02722">
      <w:pPr>
        <w:spacing w:after="0"/>
        <w:jc w:val="center"/>
        <w:rPr>
          <w:rFonts w:eastAsia="Calibri" w:cstheme="minorHAnsi"/>
          <w:b/>
          <w:bCs/>
          <w:szCs w:val="20"/>
        </w:rPr>
      </w:pPr>
      <w:r w:rsidRPr="000B623A">
        <w:rPr>
          <w:rFonts w:eastAsia="Calibri" w:cstheme="minorHAnsi"/>
          <w:b/>
          <w:bCs/>
          <w:szCs w:val="20"/>
        </w:rPr>
        <w:t xml:space="preserve">Table </w:t>
      </w:r>
      <w:r>
        <w:rPr>
          <w:rFonts w:eastAsia="Calibri" w:cstheme="minorHAnsi"/>
          <w:b/>
          <w:bCs/>
          <w:szCs w:val="20"/>
        </w:rPr>
        <w:t>3</w:t>
      </w:r>
      <w:r w:rsidRPr="000B623A">
        <w:rPr>
          <w:rFonts w:eastAsia="Calibri" w:cstheme="minorHAnsi"/>
          <w:b/>
          <w:bCs/>
          <w:szCs w:val="20"/>
        </w:rPr>
        <w:t xml:space="preserve">: </w:t>
      </w:r>
      <w:r>
        <w:rPr>
          <w:rFonts w:eastAsia="Calibri" w:cstheme="minorHAnsi"/>
          <w:b/>
          <w:bCs/>
          <w:szCs w:val="20"/>
        </w:rPr>
        <w:t>Possible sampling methods</w:t>
      </w:r>
    </w:p>
    <w:p w14:paraId="08FE8602" w14:textId="77777777" w:rsidR="00A02722" w:rsidRPr="000B623A" w:rsidRDefault="00A02722" w:rsidP="00A02722">
      <w:pPr>
        <w:spacing w:after="0"/>
        <w:jc w:val="center"/>
        <w:rPr>
          <w:rFonts w:eastAsia="Calibri" w:cstheme="minorHAnsi"/>
          <w:b/>
          <w:bCs/>
          <w:szCs w:val="20"/>
        </w:rPr>
      </w:pPr>
    </w:p>
    <w:tbl>
      <w:tblPr>
        <w:tblStyle w:val="GridTable4-Accent11"/>
        <w:tblW w:w="0" w:type="auto"/>
        <w:tblLook w:val="04A0" w:firstRow="1" w:lastRow="0" w:firstColumn="1" w:lastColumn="0" w:noHBand="0" w:noVBand="1"/>
      </w:tblPr>
      <w:tblGrid>
        <w:gridCol w:w="2972"/>
        <w:gridCol w:w="7463"/>
      </w:tblGrid>
      <w:tr w:rsidR="00A02722" w:rsidRPr="00E52028" w14:paraId="05B85E19" w14:textId="77777777" w:rsidTr="00B94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nil"/>
            </w:tcBorders>
            <w:shd w:val="clear" w:color="auto" w:fill="4F685D" w:themeFill="accent6" w:themeFillShade="BF"/>
          </w:tcPr>
          <w:p w14:paraId="2767B0AD" w14:textId="77777777" w:rsidR="00A02722" w:rsidRPr="00E52028" w:rsidRDefault="00A02722" w:rsidP="00B94885">
            <w:pPr>
              <w:spacing w:before="40" w:after="40"/>
              <w:rPr>
                <w:rFonts w:eastAsia="Calibri" w:cstheme="minorHAnsi"/>
                <w:szCs w:val="20"/>
              </w:rPr>
            </w:pPr>
            <w:r w:rsidRPr="00E52028">
              <w:rPr>
                <w:rFonts w:eastAsia="Calibri" w:cstheme="minorHAnsi"/>
                <w:szCs w:val="20"/>
              </w:rPr>
              <w:t>Type of case</w:t>
            </w:r>
          </w:p>
        </w:tc>
        <w:tc>
          <w:tcPr>
            <w:tcW w:w="7463" w:type="dxa"/>
            <w:tcBorders>
              <w:bottom w:val="nil"/>
            </w:tcBorders>
            <w:shd w:val="clear" w:color="auto" w:fill="4F685D" w:themeFill="accent6" w:themeFillShade="BF"/>
          </w:tcPr>
          <w:p w14:paraId="4FF1AE4B" w14:textId="77777777" w:rsidR="00A02722" w:rsidRPr="00E52028" w:rsidRDefault="00A02722" w:rsidP="00B94885">
            <w:pPr>
              <w:spacing w:before="40" w:after="40"/>
              <w:cnfStyle w:val="100000000000" w:firstRow="1" w:lastRow="0" w:firstColumn="0" w:lastColumn="0" w:oddVBand="0" w:evenVBand="0" w:oddHBand="0" w:evenHBand="0" w:firstRowFirstColumn="0" w:firstRowLastColumn="0" w:lastRowFirstColumn="0" w:lastRowLastColumn="0"/>
              <w:rPr>
                <w:rFonts w:eastAsia="Calibri" w:cstheme="minorHAnsi"/>
                <w:szCs w:val="20"/>
              </w:rPr>
            </w:pPr>
            <w:r w:rsidRPr="00E52028">
              <w:rPr>
                <w:rFonts w:eastAsia="Calibri" w:cstheme="minorHAnsi"/>
                <w:szCs w:val="20"/>
              </w:rPr>
              <w:t>Description</w:t>
            </w:r>
          </w:p>
        </w:tc>
      </w:tr>
      <w:tr w:rsidR="00A02722" w:rsidRPr="00E52028" w14:paraId="6CCD0B0E"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0CFE994F"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High-impact case</w:t>
            </w:r>
          </w:p>
        </w:tc>
        <w:tc>
          <w:tcPr>
            <w:tcW w:w="7463" w:type="dxa"/>
            <w:tcBorders>
              <w:top w:val="nil"/>
              <w:left w:val="nil"/>
              <w:bottom w:val="nil"/>
              <w:right w:val="nil"/>
            </w:tcBorders>
            <w:shd w:val="clear" w:color="auto" w:fill="E0E8E4" w:themeFill="accent6" w:themeFillTint="33"/>
          </w:tcPr>
          <w:p w14:paraId="1E4C3655"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A case documented in-depth because of its impact. A high-visibility case that shows the best that can be achieved by an SPA partner and/or its partners.</w:t>
            </w:r>
          </w:p>
        </w:tc>
      </w:tr>
      <w:tr w:rsidR="00A02722" w:rsidRPr="00E52028" w14:paraId="314E9233" w14:textId="77777777" w:rsidTr="00B94885">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C2D1CB" w:themeFill="accent6" w:themeFillTint="66"/>
          </w:tcPr>
          <w:p w14:paraId="112E106D"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Teaching (or learning) case</w:t>
            </w:r>
          </w:p>
        </w:tc>
        <w:tc>
          <w:tcPr>
            <w:tcW w:w="7463" w:type="dxa"/>
            <w:tcBorders>
              <w:top w:val="nil"/>
              <w:left w:val="nil"/>
              <w:bottom w:val="nil"/>
              <w:right w:val="nil"/>
            </w:tcBorders>
            <w:shd w:val="clear" w:color="auto" w:fill="C2D1CB" w:themeFill="accent6" w:themeFillTint="66"/>
          </w:tcPr>
          <w:p w14:paraId="2F38CE49" w14:textId="77777777" w:rsidR="00A02722" w:rsidRPr="00E52028" w:rsidRDefault="00A02722" w:rsidP="00B94885">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An in-depth case study that offers deep insights that may be useful for others. Innovative work would often come under this </w:t>
            </w:r>
            <w:r>
              <w:rPr>
                <w:rFonts w:eastAsia="Calibri" w:cstheme="minorHAnsi"/>
                <w:sz w:val="18"/>
                <w:szCs w:val="18"/>
              </w:rPr>
              <w:t>heading</w:t>
            </w:r>
            <w:r w:rsidRPr="00E52028">
              <w:rPr>
                <w:rFonts w:eastAsia="Calibri" w:cstheme="minorHAnsi"/>
                <w:sz w:val="18"/>
                <w:szCs w:val="18"/>
              </w:rPr>
              <w:t xml:space="preserve">, </w:t>
            </w:r>
            <w:r>
              <w:rPr>
                <w:rFonts w:eastAsia="Calibri" w:cstheme="minorHAnsi"/>
                <w:sz w:val="18"/>
                <w:szCs w:val="18"/>
              </w:rPr>
              <w:t>particularly if generating significant learning for others, whether or not the innovation itself was successful.</w:t>
            </w:r>
          </w:p>
        </w:tc>
      </w:tr>
      <w:tr w:rsidR="00A02722" w:rsidRPr="00E52028" w14:paraId="467B0713"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2E4B738A"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lastRenderedPageBreak/>
              <w:t>Critical case</w:t>
            </w:r>
          </w:p>
        </w:tc>
        <w:tc>
          <w:tcPr>
            <w:tcW w:w="7463" w:type="dxa"/>
            <w:tcBorders>
              <w:top w:val="nil"/>
              <w:left w:val="nil"/>
              <w:bottom w:val="nil"/>
              <w:right w:val="nil"/>
            </w:tcBorders>
            <w:shd w:val="clear" w:color="auto" w:fill="E0E8E4" w:themeFill="accent6" w:themeFillTint="33"/>
          </w:tcPr>
          <w:p w14:paraId="1F9C33C6"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The weight of evidence from a single critical case may permit a high level of generalisation, because if true in one case it is likely to be true in other, similar cases. An SPA partner may present a critical case if it thinks it is likely to be typical of many, similar cases. </w:t>
            </w:r>
          </w:p>
        </w:tc>
      </w:tr>
      <w:tr w:rsidR="00A02722" w:rsidRPr="00E52028" w14:paraId="2045941D" w14:textId="77777777" w:rsidTr="00B94885">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C2D1CB" w:themeFill="accent6" w:themeFillTint="66"/>
          </w:tcPr>
          <w:p w14:paraId="78CB3D10"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 xml:space="preserve">Criterion-based case </w:t>
            </w:r>
          </w:p>
        </w:tc>
        <w:tc>
          <w:tcPr>
            <w:tcW w:w="7463" w:type="dxa"/>
            <w:tcBorders>
              <w:top w:val="nil"/>
              <w:left w:val="nil"/>
              <w:bottom w:val="nil"/>
              <w:right w:val="nil"/>
            </w:tcBorders>
            <w:shd w:val="clear" w:color="auto" w:fill="C2D1CB" w:themeFill="accent6" w:themeFillTint="66"/>
          </w:tcPr>
          <w:p w14:paraId="27F294DC" w14:textId="77777777" w:rsidR="00A02722" w:rsidRPr="00E52028" w:rsidRDefault="00A02722" w:rsidP="00B94885">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A case study based on a specific </w:t>
            </w:r>
            <w:r>
              <w:rPr>
                <w:rFonts w:eastAsia="Calibri" w:cstheme="minorHAnsi"/>
                <w:sz w:val="18"/>
                <w:szCs w:val="18"/>
              </w:rPr>
              <w:t>area of interest</w:t>
            </w:r>
            <w:r w:rsidRPr="00E52028">
              <w:rPr>
                <w:rFonts w:eastAsia="Calibri" w:cstheme="minorHAnsi"/>
                <w:sz w:val="18"/>
                <w:szCs w:val="18"/>
              </w:rPr>
              <w:t>, such as one addressing local leadership, or working with social movements.</w:t>
            </w:r>
          </w:p>
        </w:tc>
      </w:tr>
      <w:tr w:rsidR="00A02722" w:rsidRPr="00E52028" w14:paraId="1FB39BF3"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284FEE5C"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Typical case studies</w:t>
            </w:r>
          </w:p>
        </w:tc>
        <w:tc>
          <w:tcPr>
            <w:tcW w:w="7463" w:type="dxa"/>
            <w:tcBorders>
              <w:top w:val="nil"/>
              <w:left w:val="nil"/>
              <w:bottom w:val="nil"/>
              <w:right w:val="nil"/>
            </w:tcBorders>
            <w:shd w:val="clear" w:color="auto" w:fill="E0E8E4" w:themeFill="accent6" w:themeFillTint="33"/>
          </w:tcPr>
          <w:p w14:paraId="1D780063"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Cases selected because they </w:t>
            </w:r>
            <w:r>
              <w:rPr>
                <w:rFonts w:eastAsia="Calibri" w:cstheme="minorHAnsi"/>
                <w:sz w:val="18"/>
                <w:szCs w:val="18"/>
              </w:rPr>
              <w:t xml:space="preserve">are believed to </w:t>
            </w:r>
            <w:r w:rsidRPr="00E52028">
              <w:rPr>
                <w:rFonts w:eastAsia="Calibri" w:cstheme="minorHAnsi"/>
                <w:sz w:val="18"/>
                <w:szCs w:val="18"/>
              </w:rPr>
              <w:t>represent ‘typical’ results.</w:t>
            </w:r>
          </w:p>
        </w:tc>
      </w:tr>
      <w:tr w:rsidR="00A02722" w:rsidRPr="00E52028" w14:paraId="7AD394E3" w14:textId="77777777" w:rsidTr="00B94885">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C2D1CB" w:themeFill="accent6" w:themeFillTint="66"/>
          </w:tcPr>
          <w:p w14:paraId="487285C7"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Worst case</w:t>
            </w:r>
          </w:p>
        </w:tc>
        <w:tc>
          <w:tcPr>
            <w:tcW w:w="7463" w:type="dxa"/>
            <w:tcBorders>
              <w:top w:val="nil"/>
              <w:left w:val="nil"/>
              <w:bottom w:val="nil"/>
              <w:right w:val="nil"/>
            </w:tcBorders>
            <w:shd w:val="clear" w:color="auto" w:fill="C2D1CB" w:themeFill="accent6" w:themeFillTint="66"/>
          </w:tcPr>
          <w:p w14:paraId="6C830E96" w14:textId="77777777" w:rsidR="00A02722" w:rsidRPr="00E52028" w:rsidRDefault="00A02722" w:rsidP="00B94885">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A case showing where things have not been achieved, or have gone badly wrong. </w:t>
            </w:r>
            <w:r>
              <w:rPr>
                <w:rFonts w:eastAsia="Calibri" w:cstheme="minorHAnsi"/>
                <w:sz w:val="18"/>
                <w:szCs w:val="18"/>
              </w:rPr>
              <w:t xml:space="preserve">Worst cases often focus on </w:t>
            </w:r>
            <w:r w:rsidRPr="00E52028">
              <w:rPr>
                <w:rFonts w:eastAsia="Calibri" w:cstheme="minorHAnsi"/>
                <w:sz w:val="18"/>
                <w:szCs w:val="18"/>
              </w:rPr>
              <w:t xml:space="preserve">learning that could </w:t>
            </w:r>
            <w:r>
              <w:rPr>
                <w:rFonts w:eastAsia="Calibri" w:cstheme="minorHAnsi"/>
                <w:sz w:val="18"/>
                <w:szCs w:val="18"/>
              </w:rPr>
              <w:t xml:space="preserve">help </w:t>
            </w:r>
            <w:r w:rsidRPr="00E52028">
              <w:rPr>
                <w:rFonts w:eastAsia="Calibri" w:cstheme="minorHAnsi"/>
                <w:sz w:val="18"/>
                <w:szCs w:val="18"/>
              </w:rPr>
              <w:t>avoid similar problems in the future</w:t>
            </w:r>
            <w:r>
              <w:rPr>
                <w:rFonts w:eastAsia="Calibri" w:cstheme="minorHAnsi"/>
                <w:sz w:val="18"/>
                <w:szCs w:val="18"/>
              </w:rPr>
              <w:t>, and may focus on how specific challenges or barriers were overcome</w:t>
            </w:r>
            <w:r w:rsidRPr="00E52028">
              <w:rPr>
                <w:rFonts w:eastAsia="Calibri" w:cstheme="minorHAnsi"/>
                <w:sz w:val="18"/>
                <w:szCs w:val="18"/>
              </w:rPr>
              <w:t>.</w:t>
            </w:r>
          </w:p>
        </w:tc>
      </w:tr>
      <w:tr w:rsidR="00A02722" w:rsidRPr="00E52028" w14:paraId="470AF431"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2203C72C"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Index case</w:t>
            </w:r>
          </w:p>
        </w:tc>
        <w:tc>
          <w:tcPr>
            <w:tcW w:w="7463" w:type="dxa"/>
            <w:tcBorders>
              <w:top w:val="nil"/>
              <w:left w:val="nil"/>
              <w:bottom w:val="nil"/>
              <w:right w:val="nil"/>
            </w:tcBorders>
            <w:shd w:val="clear" w:color="auto" w:fill="E0E8E4" w:themeFill="accent6" w:themeFillTint="33"/>
          </w:tcPr>
          <w:p w14:paraId="05FC9C75"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 xml:space="preserve">The first case to exhibit a phenomenon. For example, </w:t>
            </w:r>
            <w:r>
              <w:rPr>
                <w:rFonts w:eastAsia="Calibri" w:cstheme="minorHAnsi"/>
                <w:sz w:val="18"/>
                <w:szCs w:val="18"/>
              </w:rPr>
              <w:t xml:space="preserve">an index case could cover </w:t>
            </w:r>
            <w:r w:rsidRPr="00E52028">
              <w:rPr>
                <w:rFonts w:eastAsia="Calibri" w:cstheme="minorHAnsi"/>
                <w:sz w:val="18"/>
                <w:szCs w:val="18"/>
              </w:rPr>
              <w:t>the first time an SPA partner has work</w:t>
            </w:r>
            <w:r>
              <w:rPr>
                <w:rFonts w:eastAsia="Calibri" w:cstheme="minorHAnsi"/>
                <w:sz w:val="18"/>
                <w:szCs w:val="18"/>
              </w:rPr>
              <w:t>ed</w:t>
            </w:r>
            <w:r w:rsidRPr="00E52028">
              <w:rPr>
                <w:rFonts w:eastAsia="Calibri" w:cstheme="minorHAnsi"/>
                <w:sz w:val="18"/>
                <w:szCs w:val="18"/>
              </w:rPr>
              <w:t xml:space="preserve"> with a specific type of partner, way of working, or set of constituents.</w:t>
            </w:r>
          </w:p>
        </w:tc>
      </w:tr>
      <w:tr w:rsidR="00A02722" w:rsidRPr="00E52028" w14:paraId="5017EC8E" w14:textId="77777777" w:rsidTr="00B94885">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C2D1CB" w:themeFill="accent6" w:themeFillTint="66"/>
          </w:tcPr>
          <w:p w14:paraId="0A46E4C7"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 xml:space="preserve">Causal pathway case </w:t>
            </w:r>
          </w:p>
        </w:tc>
        <w:tc>
          <w:tcPr>
            <w:tcW w:w="7463" w:type="dxa"/>
            <w:tcBorders>
              <w:top w:val="nil"/>
              <w:left w:val="nil"/>
              <w:bottom w:val="nil"/>
              <w:right w:val="nil"/>
            </w:tcBorders>
            <w:shd w:val="clear" w:color="auto" w:fill="C2D1CB" w:themeFill="accent6" w:themeFillTint="66"/>
          </w:tcPr>
          <w:p w14:paraId="5CC36C20" w14:textId="77777777" w:rsidR="00A02722" w:rsidRPr="00E52028" w:rsidRDefault="00A02722" w:rsidP="00B94885">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A pathway case looks at a particular, critical area of an SPA partner’s Theory of Change.</w:t>
            </w:r>
          </w:p>
        </w:tc>
      </w:tr>
      <w:tr w:rsidR="00A02722" w:rsidRPr="00E52028" w14:paraId="5FFCF8EF"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40DAD0C3"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 xml:space="preserve">Utilisation-focused case </w:t>
            </w:r>
          </w:p>
        </w:tc>
        <w:tc>
          <w:tcPr>
            <w:tcW w:w="7463" w:type="dxa"/>
            <w:tcBorders>
              <w:top w:val="nil"/>
              <w:left w:val="nil"/>
              <w:bottom w:val="nil"/>
              <w:right w:val="nil"/>
            </w:tcBorders>
            <w:shd w:val="clear" w:color="auto" w:fill="E0E8E4" w:themeFill="accent6" w:themeFillTint="33"/>
          </w:tcPr>
          <w:p w14:paraId="2587A621"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A case where examination of sufficient depth and detail will credibly inform decision-making or serve another key purpose.</w:t>
            </w:r>
          </w:p>
        </w:tc>
      </w:tr>
      <w:tr w:rsidR="00A02722" w:rsidRPr="00E52028" w14:paraId="042AD3BB" w14:textId="77777777" w:rsidTr="00B94885">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C2D1CB" w:themeFill="accent6" w:themeFillTint="66"/>
          </w:tcPr>
          <w:p w14:paraId="06E6C477"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Comparative (positive deviance) case studies</w:t>
            </w:r>
          </w:p>
        </w:tc>
        <w:tc>
          <w:tcPr>
            <w:tcW w:w="7463" w:type="dxa"/>
            <w:tcBorders>
              <w:top w:val="nil"/>
              <w:left w:val="nil"/>
              <w:bottom w:val="nil"/>
              <w:right w:val="nil"/>
            </w:tcBorders>
            <w:shd w:val="clear" w:color="auto" w:fill="C2D1CB" w:themeFill="accent6" w:themeFillTint="66"/>
          </w:tcPr>
          <w:p w14:paraId="5E0BC253" w14:textId="77777777" w:rsidR="00A02722" w:rsidRPr="00E52028" w:rsidRDefault="00A02722" w:rsidP="00B94885">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Cases that can compare and contrast approaches or changes, and where similarities and differences can be explained.</w:t>
            </w:r>
          </w:p>
        </w:tc>
      </w:tr>
      <w:tr w:rsidR="00A02722" w:rsidRPr="00E52028" w14:paraId="7B154A37" w14:textId="77777777" w:rsidTr="00B94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nil"/>
              <w:bottom w:val="nil"/>
              <w:right w:val="nil"/>
            </w:tcBorders>
            <w:shd w:val="clear" w:color="auto" w:fill="E0E8E4" w:themeFill="accent6" w:themeFillTint="33"/>
          </w:tcPr>
          <w:p w14:paraId="7A095DC9" w14:textId="77777777" w:rsidR="00A02722" w:rsidRPr="00E52028" w:rsidRDefault="00A02722" w:rsidP="00B94885">
            <w:pPr>
              <w:spacing w:before="40" w:after="40"/>
              <w:rPr>
                <w:rFonts w:eastAsia="Calibri" w:cstheme="minorHAnsi"/>
                <w:sz w:val="18"/>
                <w:szCs w:val="18"/>
              </w:rPr>
            </w:pPr>
            <w:r w:rsidRPr="00E52028">
              <w:rPr>
                <w:rFonts w:eastAsia="Calibri" w:cstheme="minorHAnsi"/>
                <w:sz w:val="18"/>
                <w:szCs w:val="18"/>
              </w:rPr>
              <w:t>Outlier case studies</w:t>
            </w:r>
          </w:p>
        </w:tc>
        <w:tc>
          <w:tcPr>
            <w:tcW w:w="7463" w:type="dxa"/>
            <w:tcBorders>
              <w:top w:val="nil"/>
              <w:left w:val="nil"/>
              <w:bottom w:val="nil"/>
              <w:right w:val="nil"/>
            </w:tcBorders>
            <w:shd w:val="clear" w:color="auto" w:fill="E0E8E4" w:themeFill="accent6" w:themeFillTint="33"/>
          </w:tcPr>
          <w:p w14:paraId="545FD258" w14:textId="77777777" w:rsidR="00A02722" w:rsidRPr="00E52028" w:rsidRDefault="00A02722" w:rsidP="00B94885">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52028">
              <w:rPr>
                <w:rFonts w:eastAsia="Calibri" w:cstheme="minorHAnsi"/>
                <w:sz w:val="18"/>
                <w:szCs w:val="18"/>
              </w:rPr>
              <w:t>Unusual cases that would not be covered by random sampling, but which exhibit features of unusual interest.</w:t>
            </w:r>
          </w:p>
        </w:tc>
      </w:tr>
    </w:tbl>
    <w:p w14:paraId="7ACD0E6C" w14:textId="77777777" w:rsidR="00A02722" w:rsidRPr="00E74AF7" w:rsidRDefault="00A02722" w:rsidP="00A02722">
      <w:pPr>
        <w:spacing w:after="0"/>
        <w:rPr>
          <w:rFonts w:eastAsia="Calibri" w:cstheme="minorHAnsi"/>
          <w:color w:val="FFC000"/>
          <w:szCs w:val="20"/>
        </w:rPr>
      </w:pPr>
    </w:p>
    <w:p w14:paraId="3DF70F6D" w14:textId="77777777" w:rsidR="00A02722" w:rsidRPr="009759CF" w:rsidRDefault="00A02722" w:rsidP="00E73893">
      <w:pPr>
        <w:spacing w:after="120"/>
        <w:rPr>
          <w:rFonts w:eastAsia="Calibri" w:cstheme="minorHAnsi"/>
          <w:szCs w:val="20"/>
        </w:rPr>
      </w:pPr>
    </w:p>
    <w:p w14:paraId="3086C904" w14:textId="5F6DB175" w:rsidR="005C5F4C" w:rsidRPr="009759CF" w:rsidRDefault="005C5F4C" w:rsidP="00E73893">
      <w:pPr>
        <w:spacing w:after="120"/>
        <w:rPr>
          <w:rFonts w:eastAsia="Calibri" w:cstheme="minorHAnsi"/>
          <w:szCs w:val="20"/>
        </w:rPr>
      </w:pPr>
      <w:r w:rsidRPr="009759CF">
        <w:rPr>
          <w:rFonts w:eastAsia="Calibri" w:cstheme="minorHAnsi"/>
          <w:szCs w:val="20"/>
        </w:rPr>
        <w:t>Over time, some more prescriptive criteria might be developed. For example, if none of the first years’ cases involve migration then MFA might need to promote this in subsequent years. Or SPA partners could be encouraged to develop case stud</w:t>
      </w:r>
      <w:r w:rsidR="00616AD4">
        <w:rPr>
          <w:rFonts w:eastAsia="Calibri" w:cstheme="minorHAnsi"/>
          <w:szCs w:val="20"/>
        </w:rPr>
        <w:t>ies</w:t>
      </w:r>
      <w:r w:rsidRPr="009759CF">
        <w:rPr>
          <w:rFonts w:eastAsia="Calibri" w:cstheme="minorHAnsi"/>
          <w:szCs w:val="20"/>
        </w:rPr>
        <w:t xml:space="preserve"> based on </w:t>
      </w:r>
      <w:r w:rsidR="00616AD4">
        <w:rPr>
          <w:rFonts w:eastAsia="Calibri" w:cstheme="minorHAnsi"/>
          <w:szCs w:val="20"/>
        </w:rPr>
        <w:t>s</w:t>
      </w:r>
      <w:r w:rsidRPr="009759CF">
        <w:rPr>
          <w:rFonts w:eastAsia="Calibri" w:cstheme="minorHAnsi"/>
          <w:szCs w:val="20"/>
        </w:rPr>
        <w:t>pecified sector</w:t>
      </w:r>
      <w:r w:rsidR="00616AD4">
        <w:rPr>
          <w:rFonts w:eastAsia="Calibri" w:cstheme="minorHAnsi"/>
          <w:szCs w:val="20"/>
        </w:rPr>
        <w:t>s</w:t>
      </w:r>
      <w:r w:rsidRPr="009759CF">
        <w:rPr>
          <w:rFonts w:eastAsia="Calibri" w:cstheme="minorHAnsi"/>
          <w:szCs w:val="20"/>
        </w:rPr>
        <w:t xml:space="preserve"> or geographical area</w:t>
      </w:r>
      <w:r w:rsidR="00616AD4">
        <w:rPr>
          <w:rFonts w:eastAsia="Calibri" w:cstheme="minorHAnsi"/>
          <w:szCs w:val="20"/>
        </w:rPr>
        <w:t>s linked to learning or evaluation questions</w:t>
      </w:r>
      <w:r w:rsidRPr="009759CF">
        <w:rPr>
          <w:rFonts w:eastAsia="Calibri" w:cstheme="minorHAnsi"/>
          <w:szCs w:val="20"/>
        </w:rPr>
        <w:t xml:space="preserve">. </w:t>
      </w:r>
    </w:p>
    <w:p w14:paraId="485D5D71" w14:textId="77777777" w:rsidR="000C2FAA" w:rsidRDefault="000C2FAA" w:rsidP="00E73893">
      <w:pPr>
        <w:spacing w:after="120"/>
        <w:rPr>
          <w:rFonts w:eastAsia="Calibri" w:cstheme="minorHAnsi"/>
          <w:szCs w:val="20"/>
        </w:rPr>
      </w:pPr>
      <w:r w:rsidRPr="000C2FAA">
        <w:rPr>
          <w:rFonts w:eastAsia="Calibri" w:cstheme="minorHAnsi"/>
          <w:szCs w:val="20"/>
        </w:rPr>
        <w:t>In some circumstances, SPA partners may also choose to update cases, if there have been significant developments.  This will help to ensure case studies are kept as up-to-date as possible, and will be particularly useful for cases where change at one level could lead to later changes. For example, a case study could be developed in one year demonstrating how an SPA partner contributed to a policy change, with the case study later being updated to assess how the policy change was being implemented, and with what effect. Or a case study could show how an innovative piece of work was affecting a small number of people, with a later update describing how the work had been replicated or mainstreamed.</w:t>
      </w:r>
    </w:p>
    <w:p w14:paraId="778510A2" w14:textId="5BD946E0" w:rsidR="00C4386D" w:rsidRDefault="00C4386D" w:rsidP="00E73893">
      <w:pPr>
        <w:spacing w:after="120"/>
        <w:rPr>
          <w:rFonts w:eastAsia="Calibri" w:cstheme="minorHAnsi"/>
          <w:szCs w:val="20"/>
        </w:rPr>
      </w:pPr>
      <w:r>
        <w:rPr>
          <w:rFonts w:eastAsia="Calibri" w:cstheme="minorHAnsi"/>
          <w:szCs w:val="20"/>
        </w:rPr>
        <w:t xml:space="preserve">In general, SPA partners are encouraged to select cases for which there is already significant evidence – for example, cases also included in SPA partner annual reports, or which can be derived from recent reviews or evaluations. However, sometimes SPA agencies might </w:t>
      </w:r>
      <w:r w:rsidR="000C2FAA">
        <w:rPr>
          <w:rFonts w:eastAsia="Calibri" w:cstheme="minorHAnsi"/>
          <w:szCs w:val="20"/>
        </w:rPr>
        <w:t>need to carry</w:t>
      </w:r>
      <w:r>
        <w:rPr>
          <w:rFonts w:eastAsia="Calibri" w:cstheme="minorHAnsi"/>
          <w:szCs w:val="20"/>
        </w:rPr>
        <w:t xml:space="preserve"> out some additional data collection and analysis, as it is expected that the case studies are based on high-quality evidence</w:t>
      </w:r>
      <w:r w:rsidR="000C2FAA">
        <w:rPr>
          <w:rFonts w:eastAsia="Calibri" w:cstheme="minorHAnsi"/>
          <w:szCs w:val="20"/>
        </w:rPr>
        <w:t>, including rigorous methods where necessary (e.g</w:t>
      </w:r>
      <w:r>
        <w:rPr>
          <w:rFonts w:eastAsia="Calibri" w:cstheme="minorHAnsi"/>
          <w:szCs w:val="20"/>
        </w:rPr>
        <w:t>.</w:t>
      </w:r>
      <w:r w:rsidR="000C2FAA">
        <w:rPr>
          <w:rFonts w:eastAsia="Calibri" w:cstheme="minorHAnsi"/>
          <w:szCs w:val="20"/>
        </w:rPr>
        <w:t xml:space="preserve"> statements regarding change across large numbers of people should always be backed up by credible evidence, such as a survey, rather than relying on anecdotal evidence).</w:t>
      </w:r>
    </w:p>
    <w:p w14:paraId="2677805E" w14:textId="3980E2FE" w:rsidR="00C4386D" w:rsidRDefault="00C4386D" w:rsidP="00E73893">
      <w:pPr>
        <w:spacing w:after="120"/>
        <w:rPr>
          <w:rFonts w:eastAsia="Calibri" w:cstheme="minorHAnsi"/>
          <w:szCs w:val="20"/>
        </w:rPr>
      </w:pPr>
      <w:r>
        <w:rPr>
          <w:rFonts w:eastAsia="Calibri" w:cstheme="minorHAnsi"/>
          <w:szCs w:val="20"/>
        </w:rPr>
        <w:t>Note also that c</w:t>
      </w:r>
      <w:r w:rsidRPr="00C4386D">
        <w:rPr>
          <w:rFonts w:eastAsia="Calibri" w:cstheme="minorHAnsi"/>
          <w:szCs w:val="20"/>
        </w:rPr>
        <w:t xml:space="preserve">ases may be based primarily on work carried out in previous funding periods, and may outlast the current funding period. As long as there is some link to current </w:t>
      </w:r>
      <w:r>
        <w:rPr>
          <w:rFonts w:eastAsia="Calibri" w:cstheme="minorHAnsi"/>
          <w:szCs w:val="20"/>
        </w:rPr>
        <w:t xml:space="preserve">SPA </w:t>
      </w:r>
      <w:r w:rsidRPr="00C4386D">
        <w:rPr>
          <w:rFonts w:eastAsia="Calibri" w:cstheme="minorHAnsi"/>
          <w:szCs w:val="20"/>
        </w:rPr>
        <w:t xml:space="preserve">funding/support they will be valid. The purpose </w:t>
      </w:r>
      <w:r>
        <w:rPr>
          <w:rFonts w:eastAsia="Calibri" w:cstheme="minorHAnsi"/>
          <w:szCs w:val="20"/>
        </w:rPr>
        <w:t xml:space="preserve">of the case studies </w:t>
      </w:r>
      <w:r w:rsidRPr="00C4386D">
        <w:rPr>
          <w:rFonts w:eastAsia="Calibri" w:cstheme="minorHAnsi"/>
          <w:szCs w:val="20"/>
        </w:rPr>
        <w:t>is to communicate the value of what SPA partners do, not to provide individual partner accountability for results</w:t>
      </w:r>
      <w:r>
        <w:rPr>
          <w:rFonts w:eastAsia="Calibri" w:cstheme="minorHAnsi"/>
          <w:szCs w:val="20"/>
        </w:rPr>
        <w:t xml:space="preserve"> within the current SPA period</w:t>
      </w:r>
      <w:r w:rsidRPr="00C4386D">
        <w:rPr>
          <w:rFonts w:eastAsia="Calibri" w:cstheme="minorHAnsi"/>
          <w:szCs w:val="20"/>
        </w:rPr>
        <w:t>.</w:t>
      </w:r>
    </w:p>
    <w:p w14:paraId="209103BD" w14:textId="76493EDA" w:rsidR="000C2FAA" w:rsidRDefault="000C2FAA" w:rsidP="00E73893">
      <w:pPr>
        <w:spacing w:after="120"/>
        <w:rPr>
          <w:rFonts w:eastAsia="Calibri" w:cstheme="minorHAnsi"/>
          <w:szCs w:val="20"/>
        </w:rPr>
      </w:pPr>
    </w:p>
    <w:p w14:paraId="72FD1F30" w14:textId="73C2C684" w:rsidR="000C2FAA" w:rsidRPr="000C2FAA" w:rsidRDefault="000C2FAA" w:rsidP="00A02722">
      <w:pPr>
        <w:jc w:val="center"/>
        <w:rPr>
          <w:rFonts w:eastAsia="Calibri" w:cstheme="minorHAnsi"/>
          <w:b/>
          <w:bCs/>
          <w:szCs w:val="20"/>
        </w:rPr>
      </w:pPr>
      <w:r w:rsidRPr="000C2FAA">
        <w:rPr>
          <w:rFonts w:eastAsia="Calibri" w:cstheme="minorHAnsi"/>
          <w:b/>
          <w:bCs/>
          <w:szCs w:val="20"/>
        </w:rPr>
        <w:t xml:space="preserve">Table </w:t>
      </w:r>
      <w:r w:rsidR="005B75AC">
        <w:rPr>
          <w:rFonts w:eastAsia="Calibri" w:cstheme="minorHAnsi"/>
          <w:b/>
          <w:bCs/>
          <w:szCs w:val="20"/>
        </w:rPr>
        <w:t>4:</w:t>
      </w:r>
      <w:r w:rsidRPr="000C2FAA">
        <w:rPr>
          <w:rFonts w:eastAsia="Calibri" w:cstheme="minorHAnsi"/>
          <w:b/>
          <w:bCs/>
          <w:szCs w:val="20"/>
        </w:rPr>
        <w:t xml:space="preserve"> The four </w:t>
      </w:r>
      <w:r w:rsidR="00A02722">
        <w:rPr>
          <w:rFonts w:eastAsia="Calibri" w:cstheme="minorHAnsi"/>
          <w:b/>
          <w:bCs/>
          <w:szCs w:val="20"/>
        </w:rPr>
        <w:t>required</w:t>
      </w:r>
      <w:r w:rsidRPr="000C2FAA">
        <w:rPr>
          <w:rFonts w:eastAsia="Calibri" w:cstheme="minorHAnsi"/>
          <w:b/>
          <w:bCs/>
          <w:szCs w:val="20"/>
        </w:rPr>
        <w:t xml:space="preserve"> characteristics of the case studies</w:t>
      </w:r>
    </w:p>
    <w:tbl>
      <w:tblPr>
        <w:tblStyle w:val="TableGrid"/>
        <w:tblW w:w="0" w:type="auto"/>
        <w:shd w:val="clear" w:color="auto" w:fill="E0E8E4" w:themeFill="accent6" w:themeFillTint="33"/>
        <w:tblLook w:val="04A0" w:firstRow="1" w:lastRow="0" w:firstColumn="1" w:lastColumn="0" w:noHBand="0" w:noVBand="1"/>
      </w:tblPr>
      <w:tblGrid>
        <w:gridCol w:w="10456"/>
      </w:tblGrid>
      <w:tr w:rsidR="000C2FAA" w14:paraId="459A9263" w14:textId="77777777" w:rsidTr="00A02722">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6F23E2DA" w14:textId="06014086" w:rsidR="000C2FAA" w:rsidRPr="005B75AC" w:rsidRDefault="007F7AAA" w:rsidP="005B75AC">
            <w:pPr>
              <w:spacing w:before="120" w:after="120"/>
              <w:ind w:left="284" w:right="284"/>
              <w:rPr>
                <w:rFonts w:eastAsia="Calibri" w:cstheme="minorHAnsi"/>
                <w:color w:val="auto"/>
                <w:szCs w:val="20"/>
              </w:rPr>
            </w:pPr>
            <w:r w:rsidRPr="005B75AC">
              <w:rPr>
                <w:rFonts w:eastAsia="Calibri" w:cstheme="minorHAnsi"/>
                <w:color w:val="auto"/>
                <w:szCs w:val="20"/>
              </w:rPr>
              <w:t>Although guidance has been produced for case studies, as far as possible SPA partners are encouraged to be innovative and creative when selecting and developing the case studies, and to focus on areas of their work which they feel are the most interesting, or of which they are most proud. The only non-negotiables are that case studies should be:</w:t>
            </w:r>
          </w:p>
          <w:p w14:paraId="791516B0" w14:textId="368F5F34" w:rsidR="007F7AAA" w:rsidRPr="005B75AC" w:rsidRDefault="007F7AAA" w:rsidP="005B75AC">
            <w:pPr>
              <w:pStyle w:val="ListParagraph"/>
              <w:numPr>
                <w:ilvl w:val="0"/>
                <w:numId w:val="22"/>
              </w:numPr>
              <w:spacing w:before="120" w:after="120"/>
              <w:ind w:right="284"/>
              <w:rPr>
                <w:rFonts w:eastAsia="Calibri" w:cstheme="minorHAnsi"/>
                <w:color w:val="auto"/>
                <w:szCs w:val="20"/>
              </w:rPr>
            </w:pPr>
            <w:r w:rsidRPr="005B75AC">
              <w:rPr>
                <w:rFonts w:eastAsia="Calibri" w:cstheme="minorHAnsi"/>
                <w:b/>
                <w:bCs/>
                <w:color w:val="auto"/>
                <w:szCs w:val="20"/>
              </w:rPr>
              <w:t xml:space="preserve">Focused on change </w:t>
            </w:r>
            <w:r w:rsidRPr="005B75AC">
              <w:rPr>
                <w:rFonts w:eastAsia="Calibri" w:cstheme="minorHAnsi"/>
                <w:color w:val="auto"/>
                <w:szCs w:val="20"/>
              </w:rPr>
              <w:t>at some level, not just on activities</w:t>
            </w:r>
          </w:p>
          <w:p w14:paraId="35442542" w14:textId="623E1D6E" w:rsidR="007F7AAA" w:rsidRPr="005B75AC" w:rsidRDefault="007F7AAA" w:rsidP="005B75AC">
            <w:pPr>
              <w:pStyle w:val="ListParagraph"/>
              <w:numPr>
                <w:ilvl w:val="0"/>
                <w:numId w:val="22"/>
              </w:numPr>
              <w:spacing w:before="120" w:after="120"/>
              <w:ind w:right="284"/>
              <w:rPr>
                <w:rFonts w:eastAsia="Calibri" w:cstheme="minorHAnsi"/>
                <w:color w:val="auto"/>
                <w:szCs w:val="20"/>
              </w:rPr>
            </w:pPr>
            <w:r w:rsidRPr="005B75AC">
              <w:rPr>
                <w:rFonts w:eastAsia="Calibri" w:cstheme="minorHAnsi"/>
                <w:b/>
                <w:bCs/>
                <w:color w:val="auto"/>
                <w:szCs w:val="20"/>
              </w:rPr>
              <w:t>Backed up with evidence</w:t>
            </w:r>
            <w:r w:rsidRPr="005B75AC">
              <w:rPr>
                <w:rFonts w:eastAsia="Calibri" w:cstheme="minorHAnsi"/>
                <w:color w:val="auto"/>
                <w:szCs w:val="20"/>
              </w:rPr>
              <w:t xml:space="preserve"> that is credible, </w:t>
            </w:r>
            <w:r w:rsidR="00A02722" w:rsidRPr="005B75AC">
              <w:rPr>
                <w:rFonts w:eastAsia="Calibri" w:cstheme="minorHAnsi"/>
                <w:color w:val="auto"/>
                <w:szCs w:val="20"/>
              </w:rPr>
              <w:t>reliable and valid, with any appropriate caveats or uncertainties fully described</w:t>
            </w:r>
          </w:p>
          <w:p w14:paraId="03FBED1E" w14:textId="5C565D59" w:rsidR="00A02722" w:rsidRPr="005B75AC" w:rsidRDefault="00A02722" w:rsidP="005B75AC">
            <w:pPr>
              <w:pStyle w:val="ListParagraph"/>
              <w:numPr>
                <w:ilvl w:val="0"/>
                <w:numId w:val="22"/>
              </w:numPr>
              <w:spacing w:before="120" w:after="120"/>
              <w:ind w:right="284"/>
              <w:rPr>
                <w:rFonts w:eastAsia="Calibri" w:cstheme="minorHAnsi"/>
                <w:color w:val="auto"/>
                <w:szCs w:val="20"/>
              </w:rPr>
            </w:pPr>
            <w:r w:rsidRPr="005B75AC">
              <w:rPr>
                <w:rFonts w:eastAsia="Calibri" w:cstheme="minorHAnsi"/>
                <w:b/>
                <w:bCs/>
                <w:color w:val="auto"/>
                <w:szCs w:val="20"/>
              </w:rPr>
              <w:t>Interesting</w:t>
            </w:r>
            <w:r w:rsidRPr="005B75AC">
              <w:rPr>
                <w:rFonts w:eastAsia="Calibri" w:cstheme="minorHAnsi"/>
                <w:color w:val="auto"/>
                <w:szCs w:val="20"/>
              </w:rPr>
              <w:t>, representing work that some external stakeholders will enjoy reading about</w:t>
            </w:r>
          </w:p>
          <w:p w14:paraId="5FC5E2CC" w14:textId="010F418B" w:rsidR="007F7AAA" w:rsidRPr="005B75AC" w:rsidRDefault="00A02722" w:rsidP="005B75AC">
            <w:pPr>
              <w:pStyle w:val="ListParagraph"/>
              <w:numPr>
                <w:ilvl w:val="0"/>
                <w:numId w:val="22"/>
              </w:numPr>
              <w:spacing w:before="120" w:after="120"/>
              <w:ind w:right="284"/>
              <w:rPr>
                <w:rFonts w:eastAsia="Calibri" w:cstheme="minorHAnsi"/>
                <w:color w:val="auto"/>
                <w:sz w:val="22"/>
                <w:szCs w:val="22"/>
              </w:rPr>
            </w:pPr>
            <w:r w:rsidRPr="005B75AC">
              <w:rPr>
                <w:rFonts w:eastAsia="Calibri" w:cstheme="minorHAnsi"/>
                <w:b/>
                <w:bCs/>
                <w:color w:val="auto"/>
                <w:szCs w:val="20"/>
              </w:rPr>
              <w:t>Completed according to the supplied template</w:t>
            </w:r>
            <w:r w:rsidRPr="005B75AC">
              <w:rPr>
                <w:rFonts w:eastAsia="Calibri" w:cstheme="minorHAnsi"/>
                <w:color w:val="auto"/>
                <w:szCs w:val="20"/>
              </w:rPr>
              <w:t>, so that the information can be easily processed and placed onto the OpenAid platform</w:t>
            </w:r>
          </w:p>
        </w:tc>
      </w:tr>
    </w:tbl>
    <w:p w14:paraId="04871614" w14:textId="3CC9F9A9" w:rsidR="00B71700" w:rsidRDefault="00B71700" w:rsidP="00683D0D">
      <w:pPr>
        <w:spacing w:after="0"/>
        <w:rPr>
          <w:rFonts w:eastAsia="Calibri" w:cstheme="minorHAnsi"/>
          <w:color w:val="FF0000"/>
          <w:szCs w:val="20"/>
        </w:rPr>
      </w:pPr>
    </w:p>
    <w:p w14:paraId="2B7B93C6" w14:textId="77777777" w:rsidR="005B75AC" w:rsidRPr="00EA3705" w:rsidRDefault="005B75AC" w:rsidP="00683D0D">
      <w:pPr>
        <w:spacing w:after="0"/>
        <w:rPr>
          <w:rFonts w:eastAsia="Calibri" w:cstheme="minorHAnsi"/>
          <w:color w:val="FF0000"/>
          <w:szCs w:val="20"/>
        </w:rPr>
      </w:pPr>
    </w:p>
    <w:p w14:paraId="3C673A4A" w14:textId="12B82F4E" w:rsidR="00C4386D" w:rsidRPr="00C5341D" w:rsidRDefault="00C4386D" w:rsidP="00C4386D">
      <w:pPr>
        <w:spacing w:after="0"/>
        <w:rPr>
          <w:rFonts w:eastAsia="Calibri" w:cstheme="minorHAnsi"/>
          <w:b/>
          <w:bCs/>
          <w:i/>
          <w:iCs/>
          <w:color w:val="35463E" w:themeColor="accent6" w:themeShade="80"/>
          <w:sz w:val="24"/>
          <w:szCs w:val="24"/>
        </w:rPr>
      </w:pPr>
      <w:bookmarkStart w:id="3" w:name="_Hlk103241297"/>
      <w:r>
        <w:rPr>
          <w:rFonts w:eastAsia="Calibri" w:cstheme="minorHAnsi"/>
          <w:b/>
          <w:bCs/>
          <w:i/>
          <w:iCs/>
          <w:color w:val="35463E" w:themeColor="accent6" w:themeShade="80"/>
          <w:sz w:val="24"/>
          <w:szCs w:val="24"/>
        </w:rPr>
        <w:t>What should the case studies look like</w:t>
      </w:r>
      <w:r w:rsidRPr="00C5341D">
        <w:rPr>
          <w:rFonts w:eastAsia="Calibri" w:cstheme="minorHAnsi"/>
          <w:b/>
          <w:bCs/>
          <w:i/>
          <w:iCs/>
          <w:color w:val="35463E" w:themeColor="accent6" w:themeShade="80"/>
          <w:sz w:val="24"/>
          <w:szCs w:val="24"/>
        </w:rPr>
        <w:t>?</w:t>
      </w:r>
    </w:p>
    <w:p w14:paraId="33CF1772" w14:textId="37225C35" w:rsidR="005C5F4C" w:rsidRDefault="005C5F4C" w:rsidP="00536599">
      <w:pPr>
        <w:spacing w:after="0"/>
        <w:rPr>
          <w:rFonts w:eastAsia="Calibri" w:cstheme="minorHAnsi"/>
          <w:szCs w:val="20"/>
        </w:rPr>
      </w:pPr>
      <w:r w:rsidRPr="00212A5C">
        <w:rPr>
          <w:rFonts w:eastAsia="Calibri" w:cstheme="minorHAnsi"/>
          <w:szCs w:val="20"/>
        </w:rPr>
        <w:t xml:space="preserve">A template </w:t>
      </w:r>
      <w:r w:rsidR="00212A5C">
        <w:rPr>
          <w:rFonts w:eastAsia="Calibri" w:cstheme="minorHAnsi"/>
          <w:szCs w:val="20"/>
        </w:rPr>
        <w:t>has been</w:t>
      </w:r>
      <w:r w:rsidRPr="00212A5C">
        <w:rPr>
          <w:rFonts w:eastAsia="Calibri" w:cstheme="minorHAnsi"/>
          <w:szCs w:val="20"/>
        </w:rPr>
        <w:t xml:space="preserve"> developed to enable </w:t>
      </w:r>
      <w:r w:rsidR="00212A5C">
        <w:rPr>
          <w:rFonts w:eastAsia="Calibri" w:cstheme="minorHAnsi"/>
          <w:szCs w:val="20"/>
        </w:rPr>
        <w:t>a</w:t>
      </w:r>
      <w:r w:rsidRPr="00212A5C">
        <w:rPr>
          <w:rFonts w:eastAsia="Calibri" w:cstheme="minorHAnsi"/>
          <w:szCs w:val="20"/>
        </w:rPr>
        <w:t xml:space="preserve"> level of consistency across all </w:t>
      </w:r>
      <w:r w:rsidR="00212A5C">
        <w:rPr>
          <w:rFonts w:eastAsia="Calibri" w:cstheme="minorHAnsi"/>
          <w:szCs w:val="20"/>
        </w:rPr>
        <w:t xml:space="preserve">of </w:t>
      </w:r>
      <w:r w:rsidRPr="00212A5C">
        <w:rPr>
          <w:rFonts w:eastAsia="Calibri" w:cstheme="minorHAnsi"/>
          <w:szCs w:val="20"/>
        </w:rPr>
        <w:t>the case</w:t>
      </w:r>
      <w:r w:rsidR="00212A5C">
        <w:rPr>
          <w:rFonts w:eastAsia="Calibri" w:cstheme="minorHAnsi"/>
          <w:szCs w:val="20"/>
        </w:rPr>
        <w:t xml:space="preserve"> studies</w:t>
      </w:r>
      <w:r w:rsidR="00536599">
        <w:rPr>
          <w:rFonts w:eastAsia="Calibri" w:cstheme="minorHAnsi"/>
          <w:szCs w:val="20"/>
        </w:rPr>
        <w:t xml:space="preserve">, along with accompanying </w:t>
      </w:r>
      <w:bookmarkEnd w:id="3"/>
      <w:r w:rsidR="00536599">
        <w:rPr>
          <w:rFonts w:eastAsia="Calibri" w:cstheme="minorHAnsi"/>
          <w:szCs w:val="20"/>
        </w:rPr>
        <w:t>guidelines. The template is very brief, consisting only of a series of short headings, with boxes. These include:</w:t>
      </w:r>
    </w:p>
    <w:p w14:paraId="3C383020" w14:textId="30DF8872"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header information (name of SPA and Southern partners, start and end date of the work, etc.);</w:t>
      </w:r>
    </w:p>
    <w:p w14:paraId="0A823D68" w14:textId="09E5F767"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context;</w:t>
      </w:r>
    </w:p>
    <w:p w14:paraId="5650D460" w14:textId="06847089"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objectives;</w:t>
      </w:r>
    </w:p>
    <w:p w14:paraId="21DDE4F4" w14:textId="64847807"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change;</w:t>
      </w:r>
    </w:p>
    <w:p w14:paraId="48FD8281" w14:textId="7B4FBA94"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contribution;</w:t>
      </w:r>
    </w:p>
    <w:p w14:paraId="3CB5B840" w14:textId="7D4E289D" w:rsidR="00536599" w:rsidRDefault="00536599" w:rsidP="00DC27EC">
      <w:pPr>
        <w:pStyle w:val="ListParagraph"/>
        <w:numPr>
          <w:ilvl w:val="0"/>
          <w:numId w:val="17"/>
        </w:numPr>
        <w:spacing w:after="120"/>
        <w:rPr>
          <w:rFonts w:eastAsia="Calibri" w:cstheme="minorHAnsi"/>
          <w:szCs w:val="20"/>
        </w:rPr>
      </w:pPr>
      <w:r>
        <w:rPr>
          <w:rFonts w:eastAsia="Calibri" w:cstheme="minorHAnsi"/>
          <w:szCs w:val="20"/>
        </w:rPr>
        <w:t>lessons;</w:t>
      </w:r>
      <w:r w:rsidR="00DD6D9B">
        <w:rPr>
          <w:rFonts w:eastAsia="Calibri" w:cstheme="minorHAnsi"/>
          <w:szCs w:val="20"/>
        </w:rPr>
        <w:t xml:space="preserve"> and</w:t>
      </w:r>
    </w:p>
    <w:p w14:paraId="45FE9FFF" w14:textId="6BCB78AE" w:rsidR="00536599" w:rsidRDefault="00DD6D9B" w:rsidP="00DC27EC">
      <w:pPr>
        <w:pStyle w:val="ListParagraph"/>
        <w:numPr>
          <w:ilvl w:val="0"/>
          <w:numId w:val="17"/>
        </w:numPr>
        <w:spacing w:after="120"/>
        <w:rPr>
          <w:rFonts w:eastAsia="Calibri" w:cstheme="minorHAnsi"/>
          <w:szCs w:val="20"/>
        </w:rPr>
      </w:pPr>
      <w:r>
        <w:rPr>
          <w:rFonts w:eastAsia="Calibri" w:cstheme="minorHAnsi"/>
          <w:szCs w:val="20"/>
        </w:rPr>
        <w:t>evidence.</w:t>
      </w:r>
    </w:p>
    <w:p w14:paraId="550DF99B" w14:textId="11C45EB6" w:rsidR="00DD6D9B" w:rsidRPr="00327A55" w:rsidRDefault="00DD6D9B" w:rsidP="00327A55">
      <w:pPr>
        <w:spacing w:after="120"/>
        <w:rPr>
          <w:rFonts w:eastAsia="Calibri" w:cstheme="minorHAnsi"/>
          <w:szCs w:val="20"/>
        </w:rPr>
      </w:pPr>
      <w:r>
        <w:rPr>
          <w:rFonts w:eastAsia="Calibri" w:cstheme="minorHAnsi"/>
          <w:szCs w:val="20"/>
        </w:rPr>
        <w:t xml:space="preserve">Partners can forward any supplementary, confidential information to MFA desk officers bilaterally to avoid sharing it publically as part of case studies. </w:t>
      </w:r>
    </w:p>
    <w:p w14:paraId="749A01ED" w14:textId="1BB0EA20" w:rsidR="00536599" w:rsidRPr="00536599" w:rsidRDefault="00536599" w:rsidP="00536599">
      <w:pPr>
        <w:spacing w:after="120"/>
        <w:rPr>
          <w:rFonts w:eastAsia="Calibri" w:cstheme="minorHAnsi"/>
          <w:szCs w:val="20"/>
        </w:rPr>
      </w:pPr>
      <w:bookmarkStart w:id="4" w:name="_Hlk105490180"/>
      <w:r>
        <w:rPr>
          <w:rFonts w:eastAsia="Calibri" w:cstheme="minorHAnsi"/>
          <w:szCs w:val="20"/>
        </w:rPr>
        <w:t>The boxes are required for automatic processing</w:t>
      </w:r>
      <w:r w:rsidR="00315C7E">
        <w:rPr>
          <w:rFonts w:eastAsia="Calibri" w:cstheme="minorHAnsi"/>
          <w:szCs w:val="20"/>
        </w:rPr>
        <w:t>, and the first six boxes are mandatory</w:t>
      </w:r>
      <w:r>
        <w:rPr>
          <w:rFonts w:eastAsia="Calibri" w:cstheme="minorHAnsi"/>
          <w:szCs w:val="20"/>
        </w:rPr>
        <w:t xml:space="preserve">. However, there is considerable flexibility for what should be covered </w:t>
      </w:r>
      <w:r w:rsidR="00315C7E">
        <w:rPr>
          <w:rFonts w:eastAsia="Calibri" w:cstheme="minorHAnsi"/>
          <w:szCs w:val="20"/>
        </w:rPr>
        <w:t>within the different boxes</w:t>
      </w:r>
      <w:r>
        <w:rPr>
          <w:rFonts w:eastAsia="Calibri" w:cstheme="minorHAnsi"/>
          <w:szCs w:val="20"/>
        </w:rPr>
        <w:t>, and this may be different from case to case. This is all covered in the guidelines for the case studies.</w:t>
      </w:r>
    </w:p>
    <w:bookmarkEnd w:id="4"/>
    <w:p w14:paraId="178B304A" w14:textId="2B43CB80" w:rsidR="00212A5C" w:rsidRDefault="00212A5C" w:rsidP="00AD2E95">
      <w:pPr>
        <w:rPr>
          <w:rFonts w:eastAsia="Calibri" w:cstheme="minorHAnsi"/>
          <w:szCs w:val="20"/>
        </w:rPr>
      </w:pPr>
      <w:r>
        <w:rPr>
          <w:rFonts w:eastAsia="Calibri" w:cstheme="minorHAnsi"/>
          <w:szCs w:val="20"/>
        </w:rPr>
        <w:t xml:space="preserve">At some stage – depending partly on how useful the SPRS </w:t>
      </w:r>
      <w:r w:rsidR="005B75AC">
        <w:rPr>
          <w:rFonts w:eastAsia="Calibri" w:cstheme="minorHAnsi"/>
          <w:szCs w:val="20"/>
        </w:rPr>
        <w:t>proves to be</w:t>
      </w:r>
      <w:r>
        <w:rPr>
          <w:rFonts w:eastAsia="Calibri" w:cstheme="minorHAnsi"/>
          <w:szCs w:val="20"/>
        </w:rPr>
        <w:t xml:space="preserve"> – the cases could be developed into a more suitable format for public consumption. This might mean adopting the kind of professional layouts and colour schemes more associated with marketing or publicity-oriented cases. </w:t>
      </w:r>
    </w:p>
    <w:p w14:paraId="16B21703" w14:textId="7854C30C" w:rsidR="00536599" w:rsidRPr="00C5341D" w:rsidRDefault="00AA4A32" w:rsidP="00536599">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How will cases be tagged</w:t>
      </w:r>
      <w:r w:rsidR="00536599" w:rsidRPr="00C5341D">
        <w:rPr>
          <w:rFonts w:eastAsia="Calibri" w:cstheme="minorHAnsi"/>
          <w:b/>
          <w:bCs/>
          <w:i/>
          <w:iCs/>
          <w:color w:val="35463E" w:themeColor="accent6" w:themeShade="80"/>
          <w:sz w:val="24"/>
          <w:szCs w:val="24"/>
        </w:rPr>
        <w:t>?</w:t>
      </w:r>
    </w:p>
    <w:p w14:paraId="2F7ED7B0" w14:textId="0DA26343" w:rsidR="005C5F4C" w:rsidRPr="00F70CE9" w:rsidRDefault="005C5F4C" w:rsidP="00AD2E95">
      <w:pPr>
        <w:spacing w:after="120"/>
        <w:rPr>
          <w:rFonts w:eastAsia="Calibri" w:cstheme="minorHAnsi"/>
          <w:szCs w:val="20"/>
        </w:rPr>
      </w:pPr>
      <w:r w:rsidRPr="00F70CE9">
        <w:rPr>
          <w:rFonts w:eastAsia="Calibri" w:cstheme="minorHAnsi"/>
          <w:szCs w:val="20"/>
        </w:rPr>
        <w:t xml:space="preserve">Cases mapped onto the </w:t>
      </w:r>
      <w:r w:rsidR="004D774A">
        <w:rPr>
          <w:rFonts w:eastAsia="Calibri" w:cstheme="minorHAnsi"/>
          <w:szCs w:val="20"/>
        </w:rPr>
        <w:t>domain</w:t>
      </w:r>
      <w:r w:rsidRPr="00F70CE9">
        <w:rPr>
          <w:rFonts w:eastAsia="Calibri" w:cstheme="minorHAnsi"/>
          <w:szCs w:val="20"/>
        </w:rPr>
        <w:t>s of change will not necessarily be that useful for considering changes against other criteria, such as the sector or work or type of constituent. Therefore, each case will also involve a system of tagging</w:t>
      </w:r>
      <w:r w:rsidR="00084CB7">
        <w:rPr>
          <w:rFonts w:eastAsia="Calibri" w:cstheme="minorHAnsi"/>
          <w:szCs w:val="20"/>
        </w:rPr>
        <w:t>,</w:t>
      </w:r>
      <w:r w:rsidRPr="00F70CE9">
        <w:rPr>
          <w:rFonts w:eastAsia="Calibri" w:cstheme="minorHAnsi"/>
          <w:szCs w:val="20"/>
        </w:rPr>
        <w:t xml:space="preserve"> where</w:t>
      </w:r>
      <w:r w:rsidR="00084CB7">
        <w:rPr>
          <w:rFonts w:eastAsia="Calibri" w:cstheme="minorHAnsi"/>
          <w:szCs w:val="20"/>
        </w:rPr>
        <w:t>by</w:t>
      </w:r>
      <w:r w:rsidRPr="00F70CE9">
        <w:rPr>
          <w:rFonts w:eastAsia="Calibri" w:cstheme="minorHAnsi"/>
          <w:szCs w:val="20"/>
        </w:rPr>
        <w:t xml:space="preserve"> key criteria c</w:t>
      </w:r>
      <w:r w:rsidR="00084CB7">
        <w:rPr>
          <w:rFonts w:eastAsia="Calibri" w:cstheme="minorHAnsi"/>
          <w:szCs w:val="20"/>
        </w:rPr>
        <w:t>an</w:t>
      </w:r>
      <w:r w:rsidRPr="00F70CE9">
        <w:rPr>
          <w:rFonts w:eastAsia="Calibri" w:cstheme="minorHAnsi"/>
          <w:szCs w:val="20"/>
        </w:rPr>
        <w:t xml:space="preserve"> be tagged</w:t>
      </w:r>
      <w:r w:rsidR="00084CB7">
        <w:rPr>
          <w:rFonts w:eastAsia="Calibri" w:cstheme="minorHAnsi"/>
          <w:szCs w:val="20"/>
        </w:rPr>
        <w:t xml:space="preserve"> on a simple word sheet or database</w:t>
      </w:r>
      <w:r w:rsidRPr="00F70CE9">
        <w:rPr>
          <w:rFonts w:eastAsia="Calibri" w:cstheme="minorHAnsi"/>
          <w:szCs w:val="20"/>
        </w:rPr>
        <w:t>. Essentially, this w</w:t>
      </w:r>
      <w:r w:rsidR="00084CB7">
        <w:rPr>
          <w:rFonts w:eastAsia="Calibri" w:cstheme="minorHAnsi"/>
          <w:szCs w:val="20"/>
        </w:rPr>
        <w:t>ill</w:t>
      </w:r>
      <w:r w:rsidRPr="00F70CE9">
        <w:rPr>
          <w:rFonts w:eastAsia="Calibri" w:cstheme="minorHAnsi"/>
          <w:szCs w:val="20"/>
        </w:rPr>
        <w:t xml:space="preserve"> comprise a set of tick boxes so that SPA partners c</w:t>
      </w:r>
      <w:r w:rsidR="00084CB7">
        <w:rPr>
          <w:rFonts w:eastAsia="Calibri" w:cstheme="minorHAnsi"/>
          <w:szCs w:val="20"/>
        </w:rPr>
        <w:t>an</w:t>
      </w:r>
      <w:r w:rsidRPr="00F70CE9">
        <w:rPr>
          <w:rFonts w:eastAsia="Calibri" w:cstheme="minorHAnsi"/>
          <w:szCs w:val="20"/>
        </w:rPr>
        <w:t xml:space="preserve"> indicate which areas of interest are covered by each case. This kind of system w</w:t>
      </w:r>
      <w:r w:rsidR="00084CB7">
        <w:rPr>
          <w:rFonts w:eastAsia="Calibri" w:cstheme="minorHAnsi"/>
          <w:szCs w:val="20"/>
        </w:rPr>
        <w:t>ill enable</w:t>
      </w:r>
      <w:r w:rsidRPr="00F70CE9">
        <w:rPr>
          <w:rFonts w:eastAsia="Calibri" w:cstheme="minorHAnsi"/>
          <w:szCs w:val="20"/>
        </w:rPr>
        <w:t xml:space="preserve"> case studies </w:t>
      </w:r>
      <w:r w:rsidR="00084CB7">
        <w:rPr>
          <w:rFonts w:eastAsia="Calibri" w:cstheme="minorHAnsi"/>
          <w:szCs w:val="20"/>
        </w:rPr>
        <w:t xml:space="preserve">to be </w:t>
      </w:r>
      <w:r w:rsidRPr="00F70CE9">
        <w:rPr>
          <w:rFonts w:eastAsia="Calibri" w:cstheme="minorHAnsi"/>
          <w:szCs w:val="20"/>
        </w:rPr>
        <w:t xml:space="preserve">retrieved </w:t>
      </w:r>
      <w:r w:rsidR="00084CB7">
        <w:rPr>
          <w:rFonts w:eastAsia="Calibri" w:cstheme="minorHAnsi"/>
          <w:szCs w:val="20"/>
        </w:rPr>
        <w:t xml:space="preserve">at a later date </w:t>
      </w:r>
      <w:r w:rsidRPr="00F70CE9">
        <w:rPr>
          <w:rFonts w:eastAsia="Calibri" w:cstheme="minorHAnsi"/>
          <w:szCs w:val="20"/>
        </w:rPr>
        <w:t>according to different criteria. For example, a user should be able to retrieve all the case studies concerning ‘support to refugees in the MENA region’ or cases involving ‘climate change and youth’.</w:t>
      </w:r>
    </w:p>
    <w:p w14:paraId="22DBEBD9" w14:textId="22B444B9" w:rsidR="005C5F4C" w:rsidRPr="00F70CE9" w:rsidRDefault="00084CB7" w:rsidP="00AD2E95">
      <w:pPr>
        <w:spacing w:after="120"/>
        <w:contextualSpacing/>
        <w:rPr>
          <w:rFonts w:eastAsia="Calibri" w:cstheme="minorHAnsi"/>
          <w:szCs w:val="20"/>
        </w:rPr>
      </w:pPr>
      <w:r>
        <w:rPr>
          <w:rFonts w:eastAsia="Calibri" w:cstheme="minorHAnsi"/>
          <w:szCs w:val="20"/>
        </w:rPr>
        <w:t>The</w:t>
      </w:r>
      <w:r w:rsidR="005C5F4C" w:rsidRPr="00F70CE9">
        <w:rPr>
          <w:rFonts w:eastAsia="Calibri" w:cstheme="minorHAnsi"/>
          <w:szCs w:val="20"/>
        </w:rPr>
        <w:t xml:space="preserve"> tagging system </w:t>
      </w:r>
      <w:r w:rsidR="00315C7E">
        <w:rPr>
          <w:rFonts w:eastAsia="Calibri" w:cstheme="minorHAnsi"/>
          <w:szCs w:val="20"/>
        </w:rPr>
        <w:t>may</w:t>
      </w:r>
      <w:r>
        <w:rPr>
          <w:rFonts w:eastAsia="Calibri" w:cstheme="minorHAnsi"/>
          <w:szCs w:val="20"/>
        </w:rPr>
        <w:t xml:space="preserve"> include </w:t>
      </w:r>
      <w:r w:rsidR="005C5F4C" w:rsidRPr="00F70CE9">
        <w:rPr>
          <w:rFonts w:eastAsia="Calibri" w:cstheme="minorHAnsi"/>
          <w:szCs w:val="20"/>
        </w:rPr>
        <w:t>areas such as:</w:t>
      </w:r>
    </w:p>
    <w:p w14:paraId="69F39F66" w14:textId="45E2D54E" w:rsidR="005C5F4C" w:rsidRPr="00F70CE9" w:rsidRDefault="005C5F4C" w:rsidP="005B75AC">
      <w:pPr>
        <w:numPr>
          <w:ilvl w:val="0"/>
          <w:numId w:val="9"/>
        </w:numPr>
        <w:spacing w:after="120"/>
        <w:contextualSpacing/>
        <w:rPr>
          <w:rFonts w:eastAsia="Calibri" w:cstheme="minorHAnsi"/>
          <w:szCs w:val="20"/>
        </w:rPr>
      </w:pPr>
      <w:r w:rsidRPr="00F70CE9">
        <w:rPr>
          <w:rFonts w:eastAsia="Calibri" w:cstheme="minorHAnsi"/>
          <w:szCs w:val="20"/>
        </w:rPr>
        <w:t xml:space="preserve">The </w:t>
      </w:r>
      <w:r w:rsidR="004D774A">
        <w:rPr>
          <w:rFonts w:eastAsia="Calibri" w:cstheme="minorHAnsi"/>
          <w:szCs w:val="20"/>
        </w:rPr>
        <w:t>domain</w:t>
      </w:r>
      <w:r w:rsidRPr="00F70CE9">
        <w:rPr>
          <w:rFonts w:eastAsia="Calibri" w:cstheme="minorHAnsi"/>
          <w:szCs w:val="20"/>
        </w:rPr>
        <w:t>s of change – both primary and secondary</w:t>
      </w:r>
      <w:r w:rsidR="00FE0F3F">
        <w:rPr>
          <w:rFonts w:eastAsia="Calibri" w:cstheme="minorHAnsi"/>
          <w:szCs w:val="20"/>
        </w:rPr>
        <w:t>.</w:t>
      </w:r>
    </w:p>
    <w:p w14:paraId="4236F567" w14:textId="60F4821C" w:rsidR="005C5F4C" w:rsidRDefault="005C5F4C" w:rsidP="005B75AC">
      <w:pPr>
        <w:numPr>
          <w:ilvl w:val="0"/>
          <w:numId w:val="9"/>
        </w:numPr>
        <w:spacing w:after="120"/>
        <w:contextualSpacing/>
        <w:rPr>
          <w:rFonts w:eastAsia="Calibri" w:cstheme="minorHAnsi"/>
          <w:szCs w:val="20"/>
        </w:rPr>
      </w:pPr>
      <w:r w:rsidRPr="00F70CE9">
        <w:rPr>
          <w:rFonts w:eastAsia="Calibri" w:cstheme="minorHAnsi"/>
          <w:szCs w:val="20"/>
        </w:rPr>
        <w:t>The key strategic areas of the MFA Strategy</w:t>
      </w:r>
      <w:r w:rsidR="00FE0F3F">
        <w:rPr>
          <w:rFonts w:eastAsia="Calibri" w:cstheme="minorHAnsi"/>
          <w:szCs w:val="20"/>
        </w:rPr>
        <w:t>,</w:t>
      </w:r>
      <w:r w:rsidRPr="00F70CE9">
        <w:rPr>
          <w:rFonts w:eastAsia="Calibri" w:cstheme="minorHAnsi"/>
          <w:szCs w:val="20"/>
        </w:rPr>
        <w:t xml:space="preserve"> “The World We Share”</w:t>
      </w:r>
      <w:r w:rsidR="00FE0F3F">
        <w:rPr>
          <w:rFonts w:eastAsia="Calibri" w:cstheme="minorHAnsi"/>
          <w:szCs w:val="20"/>
        </w:rPr>
        <w:t>,</w:t>
      </w:r>
      <w:r w:rsidRPr="00F70CE9">
        <w:rPr>
          <w:rFonts w:eastAsia="Calibri" w:cstheme="minorHAnsi"/>
          <w:szCs w:val="20"/>
        </w:rPr>
        <w:t xml:space="preserve"> namely, fragile contexts and displacement, democratic values and human rights, and climate and green solutions.</w:t>
      </w:r>
    </w:p>
    <w:p w14:paraId="1F304C3B" w14:textId="3572364C" w:rsidR="002263EF" w:rsidRDefault="002263EF" w:rsidP="005B75AC">
      <w:pPr>
        <w:numPr>
          <w:ilvl w:val="0"/>
          <w:numId w:val="9"/>
        </w:numPr>
        <w:spacing w:after="120"/>
        <w:contextualSpacing/>
        <w:rPr>
          <w:rFonts w:eastAsia="Calibri" w:cstheme="minorHAnsi"/>
          <w:szCs w:val="20"/>
        </w:rPr>
      </w:pPr>
      <w:r w:rsidRPr="00D650E1">
        <w:rPr>
          <w:rFonts w:eastAsia="Calibri" w:cstheme="minorHAnsi"/>
          <w:szCs w:val="20"/>
        </w:rPr>
        <w:t xml:space="preserve">Appropriate </w:t>
      </w:r>
      <w:r w:rsidR="005852F3">
        <w:rPr>
          <w:rFonts w:eastAsia="Calibri" w:cstheme="minorHAnsi"/>
          <w:szCs w:val="20"/>
        </w:rPr>
        <w:t>reporting</w:t>
      </w:r>
      <w:r w:rsidR="005852F3" w:rsidRPr="00D650E1">
        <w:rPr>
          <w:rFonts w:eastAsia="Calibri" w:cstheme="minorHAnsi"/>
          <w:szCs w:val="20"/>
        </w:rPr>
        <w:t xml:space="preserve"> </w:t>
      </w:r>
      <w:r w:rsidRPr="00D650E1">
        <w:rPr>
          <w:rFonts w:eastAsia="Calibri" w:cstheme="minorHAnsi"/>
          <w:szCs w:val="20"/>
        </w:rPr>
        <w:t>tags,</w:t>
      </w:r>
      <w:r>
        <w:rPr>
          <w:rFonts w:eastAsia="Calibri" w:cstheme="minorHAnsi"/>
          <w:szCs w:val="20"/>
        </w:rPr>
        <w:t xml:space="preserve"> namely, country, region, DAC 3 Digit S</w:t>
      </w:r>
      <w:r w:rsidR="004B077D">
        <w:rPr>
          <w:rFonts w:eastAsia="Calibri" w:cstheme="minorHAnsi"/>
          <w:szCs w:val="20"/>
        </w:rPr>
        <w:t>e</w:t>
      </w:r>
      <w:r>
        <w:rPr>
          <w:rFonts w:eastAsia="Calibri" w:cstheme="minorHAnsi"/>
          <w:szCs w:val="20"/>
        </w:rPr>
        <w:t>ctor, DAC 5 Digit Sector and Humanitarian Scope Type</w:t>
      </w:r>
    </w:p>
    <w:p w14:paraId="13474B7C" w14:textId="77777777" w:rsidR="00AF2519" w:rsidRPr="00F70CE9" w:rsidRDefault="00AF2519" w:rsidP="00327A55">
      <w:pPr>
        <w:spacing w:after="120"/>
        <w:ind w:left="720"/>
        <w:contextualSpacing/>
        <w:rPr>
          <w:rFonts w:eastAsia="Calibri" w:cstheme="minorHAnsi"/>
          <w:szCs w:val="20"/>
        </w:rPr>
      </w:pPr>
    </w:p>
    <w:p w14:paraId="659C9868" w14:textId="149EE76B" w:rsidR="00E014DA" w:rsidRPr="00327A55" w:rsidRDefault="00E014DA" w:rsidP="00327A55">
      <w:pPr>
        <w:spacing w:after="0"/>
        <w:rPr>
          <w:rFonts w:eastAsia="Calibri" w:cstheme="minorHAnsi"/>
          <w:b/>
          <w:bCs/>
          <w:i/>
          <w:iCs/>
          <w:color w:val="35463E" w:themeColor="accent6" w:themeShade="80"/>
          <w:sz w:val="24"/>
          <w:szCs w:val="24"/>
        </w:rPr>
      </w:pPr>
      <w:r w:rsidRPr="00327A55">
        <w:rPr>
          <w:rFonts w:eastAsia="Calibri" w:cstheme="minorHAnsi"/>
          <w:b/>
          <w:bCs/>
          <w:i/>
          <w:iCs/>
          <w:color w:val="35463E" w:themeColor="accent6" w:themeShade="80"/>
          <w:sz w:val="24"/>
          <w:szCs w:val="24"/>
        </w:rPr>
        <w:t>How should case studies be submitted?</w:t>
      </w:r>
    </w:p>
    <w:p w14:paraId="71BE6C3D" w14:textId="5DD3FF3B" w:rsidR="003D0B44" w:rsidRPr="009834DD" w:rsidRDefault="003D0B44" w:rsidP="00AD2E95">
      <w:pPr>
        <w:rPr>
          <w:rFonts w:eastAsia="Calibri" w:cstheme="minorHAnsi"/>
          <w:szCs w:val="20"/>
        </w:rPr>
      </w:pPr>
      <w:bookmarkStart w:id="5" w:name="_Hlk197505912"/>
      <w:r w:rsidRPr="009834DD">
        <w:rPr>
          <w:rFonts w:eastAsia="Calibri" w:cstheme="minorHAnsi"/>
          <w:szCs w:val="20"/>
        </w:rPr>
        <w:t xml:space="preserve">SPA partners are responsible for publishing case </w:t>
      </w:r>
      <w:r w:rsidR="00871A0D" w:rsidRPr="009834DD">
        <w:rPr>
          <w:rFonts w:eastAsia="Calibri" w:cstheme="minorHAnsi"/>
          <w:szCs w:val="20"/>
        </w:rPr>
        <w:t>on their own website</w:t>
      </w:r>
      <w:r w:rsidR="00166504" w:rsidRPr="009834DD">
        <w:rPr>
          <w:rFonts w:eastAsia="Calibri" w:cstheme="minorHAnsi"/>
          <w:szCs w:val="20"/>
        </w:rPr>
        <w:t xml:space="preserve">. </w:t>
      </w:r>
      <w:r w:rsidRPr="009834DD">
        <w:rPr>
          <w:rFonts w:eastAsia="Calibri" w:cstheme="minorHAnsi"/>
          <w:szCs w:val="20"/>
        </w:rPr>
        <w:t xml:space="preserve">The </w:t>
      </w:r>
      <w:r w:rsidR="00BC3C62" w:rsidRPr="009834DD">
        <w:rPr>
          <w:rFonts w:eastAsia="Calibri" w:cstheme="minorHAnsi"/>
          <w:szCs w:val="20"/>
        </w:rPr>
        <w:t xml:space="preserve">submission </w:t>
      </w:r>
      <w:r w:rsidR="007962E0" w:rsidRPr="009834DD">
        <w:rPr>
          <w:rFonts w:eastAsia="Calibri" w:cstheme="minorHAnsi"/>
          <w:szCs w:val="20"/>
        </w:rPr>
        <w:t xml:space="preserve">of case studies </w:t>
      </w:r>
      <w:r w:rsidRPr="009834DD">
        <w:rPr>
          <w:rFonts w:eastAsia="Calibri" w:cstheme="minorHAnsi"/>
          <w:szCs w:val="20"/>
        </w:rPr>
        <w:t>follows the annual process for reporting on previous years.</w:t>
      </w:r>
      <w:r w:rsidR="00BC3C62" w:rsidRPr="009834DD">
        <w:rPr>
          <w:rFonts w:eastAsia="Calibri" w:cstheme="minorHAnsi"/>
          <w:szCs w:val="20"/>
        </w:rPr>
        <w:t xml:space="preserve"> </w:t>
      </w:r>
      <w:r w:rsidR="00141B7A" w:rsidRPr="009834DD">
        <w:rPr>
          <w:rFonts w:eastAsia="Calibri" w:cstheme="minorHAnsi"/>
          <w:szCs w:val="20"/>
        </w:rPr>
        <w:t xml:space="preserve">Case studies </w:t>
      </w:r>
      <w:r w:rsidR="00BC3C62" w:rsidRPr="009834DD">
        <w:rPr>
          <w:rFonts w:eastAsia="Calibri" w:cstheme="minorHAnsi"/>
          <w:szCs w:val="20"/>
        </w:rPr>
        <w:t xml:space="preserve">for 2024-results reporting and succeeding years </w:t>
      </w:r>
      <w:r w:rsidRPr="009834DD">
        <w:rPr>
          <w:rFonts w:eastAsia="Calibri" w:cstheme="minorHAnsi"/>
          <w:szCs w:val="20"/>
        </w:rPr>
        <w:t>should thus be</w:t>
      </w:r>
      <w:r w:rsidR="00BC3C62" w:rsidRPr="009834DD">
        <w:rPr>
          <w:rFonts w:eastAsia="Calibri" w:cstheme="minorHAnsi"/>
          <w:szCs w:val="20"/>
        </w:rPr>
        <w:t xml:space="preserve"> </w:t>
      </w:r>
      <w:r w:rsidR="00141B7A" w:rsidRPr="009834DD">
        <w:rPr>
          <w:rFonts w:eastAsia="Calibri" w:cstheme="minorHAnsi"/>
          <w:szCs w:val="20"/>
        </w:rPr>
        <w:t xml:space="preserve">submitted to the MFA </w:t>
      </w:r>
      <w:r w:rsidRPr="009834DD">
        <w:rPr>
          <w:rFonts w:eastAsia="Calibri" w:cstheme="minorHAnsi"/>
          <w:szCs w:val="20"/>
        </w:rPr>
        <w:t>via</w:t>
      </w:r>
      <w:r w:rsidR="00141B7A" w:rsidRPr="009834DD">
        <w:rPr>
          <w:rFonts w:eastAsia="Calibri" w:cstheme="minorHAnsi"/>
          <w:szCs w:val="20"/>
        </w:rPr>
        <w:t xml:space="preserve"> email to the relevant desk officer. </w:t>
      </w:r>
      <w:r w:rsidR="00AC776A" w:rsidRPr="009834DD">
        <w:rPr>
          <w:rFonts w:eastAsia="Calibri" w:cstheme="minorHAnsi"/>
          <w:szCs w:val="20"/>
        </w:rPr>
        <w:t xml:space="preserve">The email </w:t>
      </w:r>
      <w:r w:rsidRPr="009834DD">
        <w:rPr>
          <w:rFonts w:eastAsia="Calibri" w:cstheme="minorHAnsi"/>
          <w:szCs w:val="20"/>
        </w:rPr>
        <w:t>should</w:t>
      </w:r>
      <w:r w:rsidR="00AC776A" w:rsidRPr="009834DD">
        <w:rPr>
          <w:rFonts w:eastAsia="Calibri" w:cstheme="minorHAnsi"/>
          <w:szCs w:val="20"/>
        </w:rPr>
        <w:t xml:space="preserve"> also include </w:t>
      </w:r>
      <w:r w:rsidRPr="009834DD">
        <w:rPr>
          <w:rFonts w:eastAsia="Calibri" w:cstheme="minorHAnsi"/>
          <w:szCs w:val="20"/>
        </w:rPr>
        <w:t>links to case studies published on the SPA partner’s</w:t>
      </w:r>
      <w:r w:rsidR="00AC776A" w:rsidRPr="009834DD">
        <w:rPr>
          <w:rFonts w:eastAsia="Calibri" w:cstheme="minorHAnsi"/>
          <w:szCs w:val="20"/>
        </w:rPr>
        <w:t xml:space="preserve"> website. </w:t>
      </w:r>
    </w:p>
    <w:p w14:paraId="2F20BE5A" w14:textId="038F46A4" w:rsidR="00E014DA" w:rsidRPr="009834DD" w:rsidRDefault="003D0B44" w:rsidP="00AD2E95">
      <w:pPr>
        <w:rPr>
          <w:rFonts w:eastAsia="Calibri" w:cstheme="minorHAnsi"/>
          <w:szCs w:val="20"/>
        </w:rPr>
      </w:pPr>
      <w:bookmarkStart w:id="6" w:name="_Hlk197505947"/>
      <w:bookmarkEnd w:id="5"/>
      <w:r w:rsidRPr="009834DD">
        <w:rPr>
          <w:rFonts w:eastAsia="Calibri" w:cstheme="minorHAnsi"/>
          <w:szCs w:val="20"/>
        </w:rPr>
        <w:t xml:space="preserve">For annual reporting on 2022 and 2023, the requirement for submitting case </w:t>
      </w:r>
      <w:r w:rsidR="00166504" w:rsidRPr="009834DD">
        <w:rPr>
          <w:rFonts w:eastAsia="Calibri" w:cstheme="minorHAnsi"/>
          <w:szCs w:val="20"/>
        </w:rPr>
        <w:t xml:space="preserve">studies </w:t>
      </w:r>
      <w:r w:rsidRPr="009834DD">
        <w:rPr>
          <w:rFonts w:eastAsia="Calibri" w:cstheme="minorHAnsi"/>
          <w:szCs w:val="20"/>
        </w:rPr>
        <w:t>through IATI still pertains. This should be done by</w:t>
      </w:r>
      <w:r w:rsidR="003412BE">
        <w:rPr>
          <w:rFonts w:eastAsia="Calibri" w:cstheme="minorHAnsi"/>
          <w:szCs w:val="20"/>
        </w:rPr>
        <w:t xml:space="preserve"> </w:t>
      </w:r>
      <w:r w:rsidR="00166504" w:rsidRPr="009834DD">
        <w:rPr>
          <w:rFonts w:eastAsia="Calibri" w:cstheme="minorHAnsi"/>
          <w:szCs w:val="20"/>
        </w:rPr>
        <w:t>inclu</w:t>
      </w:r>
      <w:r w:rsidRPr="009834DD">
        <w:rPr>
          <w:rFonts w:eastAsia="Calibri" w:cstheme="minorHAnsi"/>
          <w:szCs w:val="20"/>
        </w:rPr>
        <w:t>ding</w:t>
      </w:r>
      <w:r w:rsidR="00166504" w:rsidRPr="009834DD">
        <w:rPr>
          <w:rFonts w:eastAsia="Calibri" w:cstheme="minorHAnsi"/>
          <w:szCs w:val="20"/>
        </w:rPr>
        <w:t xml:space="preserve"> links to the published document in</w:t>
      </w:r>
      <w:r w:rsidR="00E014DA" w:rsidRPr="009834DD">
        <w:rPr>
          <w:rFonts w:eastAsia="Calibri" w:cstheme="minorHAnsi"/>
          <w:szCs w:val="20"/>
        </w:rPr>
        <w:t xml:space="preserve"> the strategic partners’ activity file </w:t>
      </w:r>
      <w:r w:rsidR="00166504" w:rsidRPr="009834DD">
        <w:rPr>
          <w:rFonts w:eastAsia="Calibri" w:cstheme="minorHAnsi"/>
          <w:szCs w:val="20"/>
        </w:rPr>
        <w:t xml:space="preserve">in </w:t>
      </w:r>
      <w:r w:rsidR="00E014DA" w:rsidRPr="009834DD">
        <w:rPr>
          <w:rFonts w:eastAsia="Calibri" w:cstheme="minorHAnsi"/>
          <w:szCs w:val="20"/>
        </w:rPr>
        <w:t xml:space="preserve">IATI . </w:t>
      </w:r>
      <w:r w:rsidR="00166504" w:rsidRPr="009834DD">
        <w:rPr>
          <w:rFonts w:eastAsia="Calibri" w:cstheme="minorHAnsi"/>
          <w:szCs w:val="20"/>
        </w:rPr>
        <w:t>Links</w:t>
      </w:r>
      <w:r w:rsidR="00E014DA" w:rsidRPr="009834DD">
        <w:rPr>
          <w:rFonts w:eastAsia="Calibri" w:cstheme="minorHAnsi"/>
          <w:szCs w:val="20"/>
        </w:rPr>
        <w:t xml:space="preserve"> should be </w:t>
      </w:r>
      <w:r w:rsidR="00166504" w:rsidRPr="009834DD">
        <w:rPr>
          <w:rFonts w:eastAsia="Calibri" w:cstheme="minorHAnsi"/>
          <w:szCs w:val="20"/>
        </w:rPr>
        <w:t>included</w:t>
      </w:r>
      <w:r w:rsidR="00E014DA" w:rsidRPr="009834DD">
        <w:rPr>
          <w:rFonts w:eastAsia="Calibri" w:cstheme="minorHAnsi"/>
          <w:szCs w:val="20"/>
        </w:rPr>
        <w:t xml:space="preserve"> </w:t>
      </w:r>
      <w:r w:rsidR="00FA5DAB" w:rsidRPr="009834DD">
        <w:rPr>
          <w:rFonts w:eastAsia="Calibri" w:cstheme="minorHAnsi"/>
          <w:szCs w:val="20"/>
        </w:rPr>
        <w:t>under all relevant SPA activities</w:t>
      </w:r>
      <w:r w:rsidR="00166504" w:rsidRPr="009834DD">
        <w:rPr>
          <w:rFonts w:eastAsia="Calibri" w:cstheme="minorHAnsi"/>
          <w:szCs w:val="20"/>
        </w:rPr>
        <w:t>; r</w:t>
      </w:r>
      <w:r w:rsidR="00FA5DAB" w:rsidRPr="009834DD">
        <w:rPr>
          <w:rFonts w:eastAsia="Calibri" w:cstheme="minorHAnsi"/>
          <w:szCs w:val="20"/>
        </w:rPr>
        <w:t>eference to the same case study may thus repeat across multiple activities, if the case study pertains to more than one activity.</w:t>
      </w:r>
    </w:p>
    <w:bookmarkEnd w:id="6"/>
    <w:p w14:paraId="5B0BC563" w14:textId="5A03FD8B" w:rsidR="00780127" w:rsidRDefault="00780127" w:rsidP="00AD2E95">
      <w:pPr>
        <w:rPr>
          <w:rFonts w:eastAsia="Calibri" w:cstheme="minorHAnsi"/>
          <w:szCs w:val="20"/>
        </w:rPr>
      </w:pPr>
      <w:r>
        <w:rPr>
          <w:rFonts w:eastAsia="Calibri" w:cstheme="minorHAnsi"/>
          <w:szCs w:val="20"/>
        </w:rPr>
        <w:t xml:space="preserve">The MFA will scan the IATI </w:t>
      </w:r>
      <w:r w:rsidR="00166504">
        <w:rPr>
          <w:rFonts w:eastAsia="Calibri" w:cstheme="minorHAnsi"/>
          <w:szCs w:val="20"/>
        </w:rPr>
        <w:t>file</w:t>
      </w:r>
      <w:r>
        <w:rPr>
          <w:rFonts w:eastAsia="Calibri" w:cstheme="minorHAnsi"/>
          <w:szCs w:val="20"/>
        </w:rPr>
        <w:t xml:space="preserve"> to identify references to the same case study across multiple activities and will compile a complete list of tags for each case study based on the various references, e.g. DAC purpose codes across activities. </w:t>
      </w:r>
    </w:p>
    <w:p w14:paraId="4B8F7185" w14:textId="6316B95E" w:rsidR="00FB0A8C" w:rsidRDefault="00FB0A8C" w:rsidP="00AD2E95">
      <w:pPr>
        <w:rPr>
          <w:rFonts w:eastAsia="Calibri" w:cstheme="minorHAnsi"/>
          <w:szCs w:val="20"/>
        </w:rPr>
      </w:pPr>
      <w:r>
        <w:rPr>
          <w:rFonts w:eastAsia="Calibri" w:cstheme="minorHAnsi"/>
          <w:szCs w:val="20"/>
        </w:rPr>
        <w:t xml:space="preserve">Partners should ensure that links to case documents remain live using permalinks. If the hosting address changes later on, partners are responsible for updating the permalinks to case studies in </w:t>
      </w:r>
      <w:r w:rsidR="00BB2EB6">
        <w:rPr>
          <w:rFonts w:eastAsia="Calibri" w:cstheme="minorHAnsi"/>
          <w:szCs w:val="20"/>
        </w:rPr>
        <w:t>the</w:t>
      </w:r>
      <w:r>
        <w:rPr>
          <w:rFonts w:eastAsia="Calibri" w:cstheme="minorHAnsi"/>
          <w:szCs w:val="20"/>
        </w:rPr>
        <w:t xml:space="preserve"> </w:t>
      </w:r>
      <w:r w:rsidR="00BB2EB6">
        <w:rPr>
          <w:rFonts w:eastAsia="Calibri" w:cstheme="minorHAnsi"/>
          <w:szCs w:val="20"/>
        </w:rPr>
        <w:t>IATI</w:t>
      </w:r>
      <w:r>
        <w:rPr>
          <w:rFonts w:eastAsia="Calibri" w:cstheme="minorHAnsi"/>
          <w:szCs w:val="20"/>
        </w:rPr>
        <w:t xml:space="preserve"> file</w:t>
      </w:r>
      <w:r w:rsidR="00BC3C62">
        <w:rPr>
          <w:rFonts w:eastAsia="Calibri" w:cstheme="minorHAnsi"/>
          <w:szCs w:val="20"/>
        </w:rPr>
        <w:t xml:space="preserve"> (2022 and 2023 only)</w:t>
      </w:r>
      <w:r>
        <w:rPr>
          <w:rFonts w:eastAsia="Calibri" w:cstheme="minorHAnsi"/>
          <w:szCs w:val="20"/>
        </w:rPr>
        <w:t>.</w:t>
      </w:r>
    </w:p>
    <w:p w14:paraId="51923D16" w14:textId="02CC1ACB" w:rsidR="00E014DA" w:rsidRDefault="00E014DA" w:rsidP="00AD2E95">
      <w:pPr>
        <w:rPr>
          <w:rFonts w:eastAsia="Calibri" w:cstheme="minorHAnsi"/>
          <w:szCs w:val="20"/>
        </w:rPr>
      </w:pPr>
      <w:r>
        <w:rPr>
          <w:rFonts w:eastAsia="Calibri" w:cstheme="minorHAnsi"/>
          <w:szCs w:val="20"/>
        </w:rPr>
        <w:t xml:space="preserve">Case studies should follow the provided format to ensure that cases are comparable and accessible to both the general public and MFA staff. Please note that case studies are thus </w:t>
      </w:r>
      <w:r w:rsidR="003D0B44">
        <w:rPr>
          <w:rFonts w:eastAsia="Calibri" w:cstheme="minorHAnsi"/>
          <w:szCs w:val="20"/>
        </w:rPr>
        <w:t>publicly</w:t>
      </w:r>
      <w:r>
        <w:rPr>
          <w:rFonts w:eastAsia="Calibri" w:cstheme="minorHAnsi"/>
          <w:szCs w:val="20"/>
        </w:rPr>
        <w:t xml:space="preserve"> available and must be cleared for GDPR and </w:t>
      </w:r>
      <w:r w:rsidR="00C34DC1">
        <w:rPr>
          <w:rFonts w:eastAsia="Calibri" w:cstheme="minorHAnsi"/>
          <w:szCs w:val="20"/>
        </w:rPr>
        <w:t>have undergone</w:t>
      </w:r>
      <w:r>
        <w:rPr>
          <w:rFonts w:eastAsia="Calibri" w:cstheme="minorHAnsi"/>
          <w:szCs w:val="20"/>
        </w:rPr>
        <w:t xml:space="preserve"> </w:t>
      </w:r>
      <w:r w:rsidR="00C34DC1">
        <w:rPr>
          <w:rFonts w:eastAsia="Calibri" w:cstheme="minorHAnsi"/>
          <w:szCs w:val="20"/>
        </w:rPr>
        <w:t xml:space="preserve">copyright clearance to </w:t>
      </w:r>
      <w:r w:rsidR="00B05D61">
        <w:rPr>
          <w:rFonts w:eastAsia="Calibri" w:cstheme="minorHAnsi"/>
          <w:szCs w:val="20"/>
        </w:rPr>
        <w:t xml:space="preserve">allow </w:t>
      </w:r>
      <w:r>
        <w:rPr>
          <w:rFonts w:eastAsia="Calibri" w:cstheme="minorHAnsi"/>
          <w:szCs w:val="20"/>
        </w:rPr>
        <w:t xml:space="preserve">the MFA to reproduce </w:t>
      </w:r>
      <w:r w:rsidR="00C34DC1">
        <w:rPr>
          <w:rFonts w:eastAsia="Calibri" w:cstheme="minorHAnsi"/>
          <w:szCs w:val="20"/>
        </w:rPr>
        <w:t xml:space="preserve">(parts of) case studies. </w:t>
      </w:r>
      <w:r w:rsidR="009E244B">
        <w:rPr>
          <w:rFonts w:eastAsia="Calibri" w:cstheme="minorHAnsi"/>
          <w:szCs w:val="20"/>
        </w:rPr>
        <w:t xml:space="preserve">This includes any </w:t>
      </w:r>
      <w:r w:rsidR="0059747C">
        <w:rPr>
          <w:rFonts w:eastAsia="Calibri" w:cstheme="minorHAnsi"/>
          <w:szCs w:val="20"/>
        </w:rPr>
        <w:t xml:space="preserve">attached </w:t>
      </w:r>
      <w:r w:rsidR="009E244B">
        <w:rPr>
          <w:rFonts w:eastAsia="Calibri" w:cstheme="minorHAnsi"/>
          <w:szCs w:val="20"/>
        </w:rPr>
        <w:t>audio-visual materials</w:t>
      </w:r>
      <w:r w:rsidR="0059747C">
        <w:rPr>
          <w:rFonts w:eastAsia="Calibri" w:cstheme="minorHAnsi"/>
          <w:szCs w:val="20"/>
        </w:rPr>
        <w:t>.</w:t>
      </w:r>
    </w:p>
    <w:p w14:paraId="79D12772" w14:textId="360E4020" w:rsidR="00AD2E95" w:rsidRPr="00C5341D" w:rsidRDefault="00AD2E95" w:rsidP="00AD2E95">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lastRenderedPageBreak/>
        <w:t xml:space="preserve">What will be the process for </w:t>
      </w:r>
      <w:r w:rsidR="00817707">
        <w:rPr>
          <w:rFonts w:eastAsia="Calibri" w:cstheme="minorHAnsi"/>
          <w:b/>
          <w:bCs/>
          <w:i/>
          <w:iCs/>
          <w:color w:val="35463E" w:themeColor="accent6" w:themeShade="80"/>
          <w:sz w:val="24"/>
          <w:szCs w:val="24"/>
        </w:rPr>
        <w:t>processing</w:t>
      </w:r>
      <w:r>
        <w:rPr>
          <w:rFonts w:eastAsia="Calibri" w:cstheme="minorHAnsi"/>
          <w:b/>
          <w:bCs/>
          <w:i/>
          <w:iCs/>
          <w:color w:val="35463E" w:themeColor="accent6" w:themeShade="80"/>
          <w:sz w:val="24"/>
          <w:szCs w:val="24"/>
        </w:rPr>
        <w:t xml:space="preserve"> the case studies</w:t>
      </w:r>
      <w:r w:rsidRPr="00C5341D">
        <w:rPr>
          <w:rFonts w:eastAsia="Calibri" w:cstheme="minorHAnsi"/>
          <w:b/>
          <w:bCs/>
          <w:i/>
          <w:iCs/>
          <w:color w:val="35463E" w:themeColor="accent6" w:themeShade="80"/>
          <w:sz w:val="24"/>
          <w:szCs w:val="24"/>
        </w:rPr>
        <w:t>?</w:t>
      </w:r>
    </w:p>
    <w:p w14:paraId="719EF2AF" w14:textId="1ECF1FD9" w:rsidR="00AD2E95" w:rsidRDefault="00AD2E95" w:rsidP="00AD2E95">
      <w:pPr>
        <w:spacing w:after="0"/>
        <w:rPr>
          <w:rFonts w:eastAsia="Calibri" w:cstheme="minorHAnsi"/>
          <w:szCs w:val="20"/>
        </w:rPr>
      </w:pPr>
      <w:r>
        <w:rPr>
          <w:rFonts w:eastAsia="Calibri" w:cstheme="minorHAnsi"/>
          <w:szCs w:val="20"/>
        </w:rPr>
        <w:t>MFA will set out the timescales and deadlines for producing the case studies each year. The case studies could go through three rounds of review and quality assurance (QA).</w:t>
      </w:r>
    </w:p>
    <w:p w14:paraId="0B057DA2" w14:textId="7EE8945B" w:rsidR="00AD2E95" w:rsidRDefault="00817707" w:rsidP="002325BC">
      <w:pPr>
        <w:pStyle w:val="ListParagraph"/>
        <w:numPr>
          <w:ilvl w:val="0"/>
          <w:numId w:val="19"/>
        </w:numPr>
        <w:spacing w:after="120"/>
        <w:ind w:left="714" w:hanging="357"/>
        <w:rPr>
          <w:rFonts w:eastAsia="Calibri" w:cstheme="minorHAnsi"/>
          <w:szCs w:val="20"/>
        </w:rPr>
      </w:pPr>
      <w:r>
        <w:rPr>
          <w:rFonts w:eastAsia="Calibri" w:cstheme="minorHAnsi"/>
          <w:szCs w:val="20"/>
        </w:rPr>
        <w:t>It is recommended that SPA partners should swap the case studies with other interested SPA partners to provide some brief feedback. This is because external agencies are quite likely to pick up common mistakes, such as referring to internal acronyms or terminology that do not make much sense outside of the SPA partner concerned. An initial review might also identify where there are gaps in the case study, or where evidence is weak or absent. Where possible, swapping could be done between agencies in the same line of work, who could benefit from the joint learning.</w:t>
      </w:r>
    </w:p>
    <w:p w14:paraId="423523E7" w14:textId="77777777" w:rsidR="002325BC" w:rsidRDefault="00817707" w:rsidP="002325BC">
      <w:pPr>
        <w:pStyle w:val="ListParagraph"/>
        <w:numPr>
          <w:ilvl w:val="0"/>
          <w:numId w:val="19"/>
        </w:numPr>
        <w:spacing w:after="120"/>
        <w:ind w:left="714" w:hanging="357"/>
        <w:rPr>
          <w:rFonts w:eastAsia="Calibri" w:cstheme="minorHAnsi"/>
          <w:szCs w:val="20"/>
        </w:rPr>
      </w:pPr>
      <w:r w:rsidRPr="002325BC">
        <w:rPr>
          <w:rFonts w:eastAsia="Calibri" w:cstheme="minorHAnsi"/>
          <w:szCs w:val="20"/>
        </w:rPr>
        <w:t xml:space="preserve">Once submitted, MFA will place the case studies onto the OpenAid system. There may be an additional round of review here, depending on the level of available resources. </w:t>
      </w:r>
    </w:p>
    <w:p w14:paraId="54D49683" w14:textId="39490AEE" w:rsidR="00817707" w:rsidRPr="002325BC" w:rsidRDefault="00817707" w:rsidP="002325BC">
      <w:pPr>
        <w:pStyle w:val="ListParagraph"/>
        <w:numPr>
          <w:ilvl w:val="0"/>
          <w:numId w:val="19"/>
        </w:numPr>
        <w:spacing w:after="120"/>
        <w:ind w:left="714" w:hanging="357"/>
        <w:rPr>
          <w:rFonts w:eastAsia="Calibri" w:cstheme="minorHAnsi"/>
          <w:szCs w:val="20"/>
        </w:rPr>
      </w:pPr>
      <w:r w:rsidRPr="002325BC">
        <w:rPr>
          <w:rFonts w:eastAsia="Calibri" w:cstheme="minorHAnsi"/>
          <w:szCs w:val="20"/>
        </w:rPr>
        <w:t>A random selection of case studies would then be investigated in further depth. This might involve carrying out some primary data collection to check that the evidence for case studies was reliable. This could also be done as part of SPA partner reviews, mid-term reviews or evaluations.</w:t>
      </w:r>
      <w:r w:rsidR="002850C7" w:rsidRPr="002325BC">
        <w:rPr>
          <w:rFonts w:eastAsia="Calibri" w:cstheme="minorHAnsi"/>
          <w:szCs w:val="20"/>
        </w:rPr>
        <w:t xml:space="preserve"> </w:t>
      </w:r>
    </w:p>
    <w:p w14:paraId="23728E1E" w14:textId="77777777" w:rsidR="005B75AC" w:rsidRPr="005B75AC" w:rsidRDefault="005B75AC" w:rsidP="005B75AC">
      <w:pPr>
        <w:spacing w:after="120"/>
        <w:rPr>
          <w:rFonts w:eastAsia="Calibri" w:cstheme="minorHAnsi"/>
          <w:szCs w:val="20"/>
        </w:rPr>
      </w:pPr>
    </w:p>
    <w:p w14:paraId="0D1D5989" w14:textId="1E50A621" w:rsidR="002850C7" w:rsidRPr="006D2679" w:rsidRDefault="002850C7" w:rsidP="002850C7">
      <w:pPr>
        <w:spacing w:after="120"/>
        <w:rPr>
          <w:b/>
          <w:bCs/>
          <w:sz w:val="36"/>
          <w:szCs w:val="36"/>
        </w:rPr>
      </w:pPr>
      <w:r>
        <w:rPr>
          <w:b/>
          <w:bCs/>
          <w:sz w:val="36"/>
          <w:szCs w:val="36"/>
        </w:rPr>
        <w:t>The output indicators</w:t>
      </w:r>
    </w:p>
    <w:p w14:paraId="47A9F0BA" w14:textId="5AFBD630" w:rsidR="005C5F4C" w:rsidRPr="00FE0F3F" w:rsidRDefault="005C5F4C" w:rsidP="00FE0F3F">
      <w:pPr>
        <w:contextualSpacing/>
        <w:rPr>
          <w:rFonts w:eastAsia="Calibri" w:cstheme="minorHAnsi"/>
          <w:szCs w:val="20"/>
        </w:rPr>
      </w:pPr>
      <w:r w:rsidRPr="00FE0F3F">
        <w:rPr>
          <w:rFonts w:eastAsia="Calibri" w:cstheme="minorHAnsi"/>
          <w:szCs w:val="20"/>
        </w:rPr>
        <w:t xml:space="preserve">Case studies are best understood as in-depth assessments when they are located within a broader context. For example, in order to understand the importance of a change in capacity of a </w:t>
      </w:r>
      <w:r w:rsidR="005B75AC">
        <w:rPr>
          <w:rFonts w:eastAsia="Calibri" w:cstheme="minorHAnsi"/>
          <w:szCs w:val="20"/>
        </w:rPr>
        <w:t xml:space="preserve">Southern </w:t>
      </w:r>
      <w:r w:rsidRPr="00FE0F3F">
        <w:rPr>
          <w:rFonts w:eastAsia="Calibri" w:cstheme="minorHAnsi"/>
          <w:szCs w:val="20"/>
        </w:rPr>
        <w:t xml:space="preserve">partner, or set of partners, it </w:t>
      </w:r>
      <w:r w:rsidR="00FE0F3F">
        <w:rPr>
          <w:rFonts w:eastAsia="Calibri" w:cstheme="minorHAnsi"/>
          <w:szCs w:val="20"/>
        </w:rPr>
        <w:t>is</w:t>
      </w:r>
      <w:r w:rsidRPr="00FE0F3F">
        <w:rPr>
          <w:rFonts w:eastAsia="Calibri" w:cstheme="minorHAnsi"/>
          <w:szCs w:val="20"/>
        </w:rPr>
        <w:t xml:space="preserve"> useful to know how many </w:t>
      </w:r>
      <w:r w:rsidR="005B75AC">
        <w:rPr>
          <w:rFonts w:eastAsia="Calibri" w:cstheme="minorHAnsi"/>
          <w:szCs w:val="20"/>
        </w:rPr>
        <w:t xml:space="preserve">Southern </w:t>
      </w:r>
      <w:r w:rsidRPr="00FE0F3F">
        <w:rPr>
          <w:rFonts w:eastAsia="Calibri" w:cstheme="minorHAnsi"/>
          <w:szCs w:val="20"/>
        </w:rPr>
        <w:t xml:space="preserve">partners an SPA partner works with. </w:t>
      </w:r>
      <w:r w:rsidR="00FE0F3F">
        <w:rPr>
          <w:rFonts w:eastAsia="Calibri" w:cstheme="minorHAnsi"/>
          <w:szCs w:val="20"/>
        </w:rPr>
        <w:t xml:space="preserve">The six </w:t>
      </w:r>
      <w:r w:rsidR="004D774A">
        <w:rPr>
          <w:rFonts w:eastAsia="Calibri" w:cstheme="minorHAnsi"/>
          <w:szCs w:val="20"/>
        </w:rPr>
        <w:t>domain</w:t>
      </w:r>
      <w:r w:rsidR="00FE0F3F">
        <w:rPr>
          <w:rFonts w:eastAsia="Calibri" w:cstheme="minorHAnsi"/>
          <w:szCs w:val="20"/>
        </w:rPr>
        <w:t xml:space="preserve">s of change will therefore be </w:t>
      </w:r>
      <w:r w:rsidRPr="00FE0F3F">
        <w:rPr>
          <w:rFonts w:eastAsia="Calibri" w:cstheme="minorHAnsi"/>
          <w:szCs w:val="20"/>
        </w:rPr>
        <w:t>supplemented by two output indicators, providing an idea of scale. SPA partners w</w:t>
      </w:r>
      <w:r w:rsidR="00FE0F3F">
        <w:rPr>
          <w:rFonts w:eastAsia="Calibri" w:cstheme="minorHAnsi"/>
          <w:szCs w:val="20"/>
        </w:rPr>
        <w:t>ill</w:t>
      </w:r>
      <w:r w:rsidRPr="00FE0F3F">
        <w:rPr>
          <w:rFonts w:eastAsia="Calibri" w:cstheme="minorHAnsi"/>
          <w:szCs w:val="20"/>
        </w:rPr>
        <w:t xml:space="preserve"> be expected to report on these two indicators each year:</w:t>
      </w:r>
    </w:p>
    <w:p w14:paraId="5D84F7A5" w14:textId="77777777" w:rsidR="005C5F4C" w:rsidRPr="00FE0F3F" w:rsidRDefault="005C5F4C" w:rsidP="00DC27EC">
      <w:pPr>
        <w:numPr>
          <w:ilvl w:val="0"/>
          <w:numId w:val="10"/>
        </w:numPr>
        <w:contextualSpacing/>
        <w:rPr>
          <w:rFonts w:eastAsia="Calibri" w:cstheme="minorHAnsi"/>
          <w:szCs w:val="20"/>
        </w:rPr>
      </w:pPr>
      <w:r w:rsidRPr="00FE0F3F">
        <w:rPr>
          <w:rFonts w:eastAsia="Calibri" w:cstheme="minorHAnsi"/>
          <w:szCs w:val="20"/>
        </w:rPr>
        <w:t>the # of direct Southern partners supported, disaggregated by region/country (based on first level of disbursement, or organisations a Danish CSO has an MoU with); and</w:t>
      </w:r>
    </w:p>
    <w:p w14:paraId="511D5A3E" w14:textId="6F9F3D72" w:rsidR="005C5F4C" w:rsidRDefault="005C5F4C" w:rsidP="00BE7728">
      <w:pPr>
        <w:numPr>
          <w:ilvl w:val="0"/>
          <w:numId w:val="10"/>
        </w:numPr>
        <w:spacing w:after="120"/>
        <w:ind w:left="714" w:hanging="357"/>
        <w:rPr>
          <w:rFonts w:eastAsia="Calibri" w:cstheme="minorHAnsi"/>
          <w:szCs w:val="20"/>
        </w:rPr>
      </w:pPr>
      <w:r w:rsidRPr="00FE0F3F">
        <w:rPr>
          <w:rFonts w:eastAsia="Calibri" w:cstheme="minorHAnsi"/>
          <w:szCs w:val="20"/>
        </w:rPr>
        <w:t>the # of people receiving direct assistance via humanitarian programmes, disaggregated by region/country.</w:t>
      </w:r>
    </w:p>
    <w:p w14:paraId="4B05273D" w14:textId="158E5890" w:rsidR="002850C7" w:rsidRDefault="002850C7" w:rsidP="002850C7">
      <w:pPr>
        <w:rPr>
          <w:rFonts w:eastAsia="Calibri" w:cstheme="minorHAnsi"/>
          <w:szCs w:val="20"/>
        </w:rPr>
      </w:pPr>
      <w:r>
        <w:rPr>
          <w:rFonts w:eastAsia="Calibri" w:cstheme="minorHAnsi"/>
          <w:szCs w:val="20"/>
        </w:rPr>
        <w:t>Note that all SPA partners will be expected to contribute to the first indicator. However, SPA partners will only be expected to contribute to the second indicator if they are involved in direct humanitarian assistance programmes, either directly or through supporting Southern partners.</w:t>
      </w:r>
    </w:p>
    <w:p w14:paraId="3C73310F" w14:textId="0284F910" w:rsidR="002850C7" w:rsidRPr="00C5341D" w:rsidRDefault="002850C7" w:rsidP="002850C7">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What information will be required to count partners?</w:t>
      </w:r>
    </w:p>
    <w:p w14:paraId="4932D098" w14:textId="5C6097CB" w:rsidR="002850C7" w:rsidRDefault="002850C7" w:rsidP="002850C7">
      <w:pPr>
        <w:spacing w:after="0"/>
      </w:pPr>
      <w:r>
        <w:rPr>
          <w:szCs w:val="20"/>
        </w:rPr>
        <w:t xml:space="preserve">Each SPA partner will need to provide a list of its direct </w:t>
      </w:r>
      <w:r w:rsidR="00BE7728">
        <w:rPr>
          <w:szCs w:val="20"/>
        </w:rPr>
        <w:t xml:space="preserve">Southern </w:t>
      </w:r>
      <w:r>
        <w:rPr>
          <w:szCs w:val="20"/>
        </w:rPr>
        <w:t xml:space="preserve">partners </w:t>
      </w:r>
      <w:r w:rsidR="00BE7728">
        <w:rPr>
          <w:szCs w:val="20"/>
        </w:rPr>
        <w:t>annually</w:t>
      </w:r>
      <w:r>
        <w:rPr>
          <w:szCs w:val="20"/>
        </w:rPr>
        <w:t xml:space="preserve">, using a standard excel template. The list will then be put together by MFA staff once a year, and an overall statistic will be produced, disaggregated according to country and region. </w:t>
      </w:r>
      <w:r>
        <w:t>Only direct partners will be included in the numbers. Direct partners will be considered to be partners that meet the following criteria.</w:t>
      </w:r>
    </w:p>
    <w:p w14:paraId="3D7937BA" w14:textId="241B7317" w:rsidR="002850C7" w:rsidRDefault="00BE7728" w:rsidP="00DC27EC">
      <w:pPr>
        <w:pStyle w:val="ListParagraph"/>
        <w:numPr>
          <w:ilvl w:val="0"/>
          <w:numId w:val="20"/>
        </w:numPr>
        <w:spacing w:after="120"/>
        <w:ind w:left="714" w:hanging="357"/>
      </w:pPr>
      <w:r>
        <w:t>Organisations</w:t>
      </w:r>
      <w:r w:rsidR="002850C7" w:rsidRPr="001D66E0">
        <w:t xml:space="preserve"> where the </w:t>
      </w:r>
      <w:r w:rsidR="002850C7">
        <w:t>SPA partner</w:t>
      </w:r>
      <w:r w:rsidR="002850C7" w:rsidRPr="001D66E0">
        <w:t xml:space="preserve"> directly provides funds or has a legal contract, such as an MOU</w:t>
      </w:r>
      <w:r w:rsidR="002850C7">
        <w:t xml:space="preserve">. This means there is a </w:t>
      </w:r>
      <w:r w:rsidR="002850C7" w:rsidRPr="001D66E0">
        <w:t xml:space="preserve">strategic or contractual relationship where </w:t>
      </w:r>
      <w:r w:rsidR="002850C7">
        <w:t xml:space="preserve">SPA partner </w:t>
      </w:r>
      <w:r w:rsidR="002850C7" w:rsidRPr="001D66E0">
        <w:t>support provides a significant role</w:t>
      </w:r>
      <w:r w:rsidR="002850C7">
        <w:t>.</w:t>
      </w:r>
    </w:p>
    <w:p w14:paraId="6E5BB29C" w14:textId="3B6B4D86" w:rsidR="002850C7" w:rsidRDefault="00BE7728" w:rsidP="00DC27EC">
      <w:pPr>
        <w:pStyle w:val="ListParagraph"/>
        <w:numPr>
          <w:ilvl w:val="0"/>
          <w:numId w:val="20"/>
        </w:numPr>
        <w:spacing w:after="120"/>
        <w:ind w:left="714" w:hanging="357"/>
      </w:pPr>
      <w:r>
        <w:t>Organisations</w:t>
      </w:r>
      <w:r w:rsidR="002850C7">
        <w:t xml:space="preserve"> funded within the current SPA period (2022-2025).</w:t>
      </w:r>
    </w:p>
    <w:p w14:paraId="4EDFF4EB" w14:textId="03E6E782" w:rsidR="002850C7" w:rsidRDefault="00BE7728" w:rsidP="00DC27EC">
      <w:pPr>
        <w:pStyle w:val="ListParagraph"/>
        <w:numPr>
          <w:ilvl w:val="0"/>
          <w:numId w:val="20"/>
        </w:numPr>
        <w:spacing w:after="120"/>
        <w:ind w:left="714" w:hanging="357"/>
      </w:pPr>
      <w:r>
        <w:t>Organisations</w:t>
      </w:r>
      <w:r w:rsidR="002850C7">
        <w:t xml:space="preserve"> based in the global South.</w:t>
      </w:r>
    </w:p>
    <w:p w14:paraId="00C3CB18" w14:textId="77777777" w:rsidR="002850C7" w:rsidRDefault="002850C7" w:rsidP="0092001E">
      <w:pPr>
        <w:spacing w:after="120"/>
      </w:pPr>
      <w:r>
        <w:t>N</w:t>
      </w:r>
      <w:r w:rsidRPr="00D810A9">
        <w:t>ational CSOs with their own governance structure and legal registration</w:t>
      </w:r>
      <w:r>
        <w:t xml:space="preserve"> are considered as direct partners</w:t>
      </w:r>
      <w:r w:rsidRPr="00D810A9">
        <w:t xml:space="preserve">, even if they are members of the same federation or international alliance as the </w:t>
      </w:r>
      <w:r>
        <w:t>SPA partner.</w:t>
      </w:r>
    </w:p>
    <w:p w14:paraId="75E17A58" w14:textId="0001AB37" w:rsidR="002850C7" w:rsidRDefault="002850C7" w:rsidP="002850C7">
      <w:pPr>
        <w:spacing w:after="0"/>
        <w:contextualSpacing/>
      </w:pPr>
      <w:r>
        <w:t>The following information</w:t>
      </w:r>
      <w:r w:rsidR="0092001E">
        <w:t xml:space="preserve"> will be</w:t>
      </w:r>
      <w:r>
        <w:t xml:space="preserve"> required for each Southern partner:</w:t>
      </w:r>
    </w:p>
    <w:p w14:paraId="661F7C79" w14:textId="5CB9552F" w:rsidR="002850C7" w:rsidRDefault="00BE7728" w:rsidP="00DC27EC">
      <w:pPr>
        <w:pStyle w:val="ListParagraph"/>
        <w:numPr>
          <w:ilvl w:val="0"/>
          <w:numId w:val="21"/>
        </w:numPr>
        <w:spacing w:after="0"/>
      </w:pPr>
      <w:r>
        <w:t>t</w:t>
      </w:r>
      <w:r w:rsidR="002850C7">
        <w:t xml:space="preserve">he country in which the Southern partner is based. </w:t>
      </w:r>
      <w:r>
        <w:t>(</w:t>
      </w:r>
      <w:r w:rsidR="002850C7">
        <w:t>If it is a regional partner then the name of the appropriate region.</w:t>
      </w:r>
      <w:r>
        <w:t>);</w:t>
      </w:r>
    </w:p>
    <w:p w14:paraId="60F72D8F" w14:textId="2C07F705" w:rsidR="002850C7" w:rsidRDefault="00BE7728" w:rsidP="00DC27EC">
      <w:pPr>
        <w:pStyle w:val="ListParagraph"/>
        <w:numPr>
          <w:ilvl w:val="0"/>
          <w:numId w:val="21"/>
        </w:numPr>
        <w:spacing w:after="0"/>
      </w:pPr>
      <w:r>
        <w:t>t</w:t>
      </w:r>
      <w:r w:rsidR="002850C7">
        <w:t>he name of the Southern partner</w:t>
      </w:r>
      <w:r>
        <w:t>;</w:t>
      </w:r>
    </w:p>
    <w:p w14:paraId="059BAD9B" w14:textId="12EA4876" w:rsidR="002850C7" w:rsidRDefault="00BE7728" w:rsidP="00DC27EC">
      <w:pPr>
        <w:pStyle w:val="ListParagraph"/>
        <w:numPr>
          <w:ilvl w:val="0"/>
          <w:numId w:val="21"/>
        </w:numPr>
        <w:spacing w:after="0"/>
      </w:pPr>
      <w:r>
        <w:t>t</w:t>
      </w:r>
      <w:r w:rsidR="002850C7">
        <w:t>he year within the current SPA period when it was first funded</w:t>
      </w:r>
      <w:r>
        <w:t>; and</w:t>
      </w:r>
    </w:p>
    <w:p w14:paraId="405FC0F1" w14:textId="00DB62DE" w:rsidR="002850C7" w:rsidRDefault="00BE7728" w:rsidP="00DC27EC">
      <w:pPr>
        <w:pStyle w:val="ListParagraph"/>
        <w:numPr>
          <w:ilvl w:val="0"/>
          <w:numId w:val="21"/>
        </w:numPr>
        <w:ind w:left="714" w:hanging="357"/>
      </w:pPr>
      <w:r>
        <w:t>t</w:t>
      </w:r>
      <w:r w:rsidR="002850C7">
        <w:t>he year within the current SPA period when the partnership ended. If the partnership is ongoing then this information will not be required.</w:t>
      </w:r>
    </w:p>
    <w:p w14:paraId="0CB17EF0" w14:textId="08BAF374" w:rsidR="0092001E" w:rsidRPr="00C5341D" w:rsidRDefault="0092001E" w:rsidP="0092001E">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 xml:space="preserve">What information will be required to count </w:t>
      </w:r>
      <w:r w:rsidR="00BE7728">
        <w:rPr>
          <w:rFonts w:eastAsia="Calibri" w:cstheme="minorHAnsi"/>
          <w:b/>
          <w:bCs/>
          <w:i/>
          <w:iCs/>
          <w:color w:val="35463E" w:themeColor="accent6" w:themeShade="80"/>
          <w:sz w:val="24"/>
          <w:szCs w:val="24"/>
        </w:rPr>
        <w:t>reach for humanitarian projects</w:t>
      </w:r>
      <w:r>
        <w:rPr>
          <w:rFonts w:eastAsia="Calibri" w:cstheme="minorHAnsi"/>
          <w:b/>
          <w:bCs/>
          <w:i/>
          <w:iCs/>
          <w:color w:val="35463E" w:themeColor="accent6" w:themeShade="80"/>
          <w:sz w:val="24"/>
          <w:szCs w:val="24"/>
        </w:rPr>
        <w:t>?</w:t>
      </w:r>
    </w:p>
    <w:p w14:paraId="6DBAB595" w14:textId="254E5281" w:rsidR="002325BC" w:rsidRDefault="002325BC" w:rsidP="002325BC">
      <w:r>
        <w:rPr>
          <w:szCs w:val="20"/>
        </w:rPr>
        <w:t xml:space="preserve">Each relevant SPA partner will need to provide figures for how many people it has reached through humanitarian work. The list will then be put together by MFA staff once a year, and an overall statistic will be produced, disaggregated according to country. </w:t>
      </w:r>
    </w:p>
    <w:p w14:paraId="60F8373E" w14:textId="66FD2C53" w:rsidR="0092001E" w:rsidRPr="00C5341D" w:rsidRDefault="0092001E" w:rsidP="0092001E">
      <w:pPr>
        <w:spacing w:after="0"/>
        <w:rPr>
          <w:rFonts w:eastAsia="Calibri" w:cstheme="minorHAnsi"/>
          <w:b/>
          <w:bCs/>
          <w:i/>
          <w:iCs/>
          <w:color w:val="35463E" w:themeColor="accent6" w:themeShade="80"/>
          <w:sz w:val="24"/>
          <w:szCs w:val="24"/>
        </w:rPr>
      </w:pPr>
      <w:r>
        <w:rPr>
          <w:rFonts w:eastAsia="Calibri" w:cstheme="minorHAnsi"/>
          <w:b/>
          <w:bCs/>
          <w:i/>
          <w:iCs/>
          <w:color w:val="35463E" w:themeColor="accent6" w:themeShade="80"/>
          <w:sz w:val="24"/>
          <w:szCs w:val="24"/>
        </w:rPr>
        <w:t>What guidance is available?</w:t>
      </w:r>
    </w:p>
    <w:p w14:paraId="04A56742" w14:textId="45B18B69" w:rsidR="0092001E" w:rsidRDefault="0092001E" w:rsidP="0092001E">
      <w:pPr>
        <w:rPr>
          <w:rFonts w:eastAsia="Calibri" w:cstheme="minorHAnsi"/>
          <w:szCs w:val="20"/>
        </w:rPr>
      </w:pPr>
      <w:r>
        <w:rPr>
          <w:rFonts w:eastAsia="Calibri" w:cstheme="minorHAnsi"/>
          <w:szCs w:val="20"/>
        </w:rPr>
        <w:t xml:space="preserve">Guidelines have been produced for both sets of indicators. However, where possible </w:t>
      </w:r>
      <w:r w:rsidR="00BE7728">
        <w:rPr>
          <w:rFonts w:eastAsia="Calibri" w:cstheme="minorHAnsi"/>
          <w:szCs w:val="20"/>
        </w:rPr>
        <w:t xml:space="preserve">it is hoped that </w:t>
      </w:r>
      <w:r>
        <w:rPr>
          <w:rFonts w:eastAsia="Calibri" w:cstheme="minorHAnsi"/>
          <w:szCs w:val="20"/>
        </w:rPr>
        <w:t xml:space="preserve">organisations </w:t>
      </w:r>
      <w:r w:rsidR="00BE7728">
        <w:rPr>
          <w:rFonts w:eastAsia="Calibri" w:cstheme="minorHAnsi"/>
          <w:szCs w:val="20"/>
        </w:rPr>
        <w:t>will</w:t>
      </w:r>
      <w:r>
        <w:rPr>
          <w:rFonts w:eastAsia="Calibri" w:cstheme="minorHAnsi"/>
          <w:szCs w:val="20"/>
        </w:rPr>
        <w:t xml:space="preserve"> be able to use their own systems for counting reach.</w:t>
      </w:r>
    </w:p>
    <w:p w14:paraId="0C516D99" w14:textId="31FADE03" w:rsidR="00FA5DAB" w:rsidRPr="006E7F98" w:rsidRDefault="00FA5DAB" w:rsidP="00FA5DAB">
      <w:pPr>
        <w:spacing w:after="0"/>
        <w:rPr>
          <w:rFonts w:eastAsia="Calibri" w:cstheme="minorHAnsi"/>
          <w:b/>
          <w:bCs/>
          <w:i/>
          <w:iCs/>
          <w:color w:val="35463E" w:themeColor="accent6" w:themeShade="80"/>
          <w:sz w:val="24"/>
          <w:szCs w:val="24"/>
        </w:rPr>
      </w:pPr>
      <w:r w:rsidRPr="006E7F98">
        <w:rPr>
          <w:rFonts w:eastAsia="Calibri" w:cstheme="minorHAnsi"/>
          <w:b/>
          <w:bCs/>
          <w:i/>
          <w:iCs/>
          <w:color w:val="35463E" w:themeColor="accent6" w:themeShade="80"/>
          <w:sz w:val="24"/>
          <w:szCs w:val="24"/>
        </w:rPr>
        <w:lastRenderedPageBreak/>
        <w:t xml:space="preserve">How should </w:t>
      </w:r>
      <w:r>
        <w:rPr>
          <w:rFonts w:eastAsia="Calibri" w:cstheme="minorHAnsi"/>
          <w:b/>
          <w:bCs/>
          <w:i/>
          <w:iCs/>
          <w:color w:val="35463E" w:themeColor="accent6" w:themeShade="80"/>
          <w:sz w:val="24"/>
          <w:szCs w:val="24"/>
        </w:rPr>
        <w:t>output indicators</w:t>
      </w:r>
      <w:r w:rsidRPr="006E7F98">
        <w:rPr>
          <w:rFonts w:eastAsia="Calibri" w:cstheme="minorHAnsi"/>
          <w:b/>
          <w:bCs/>
          <w:i/>
          <w:iCs/>
          <w:color w:val="35463E" w:themeColor="accent6" w:themeShade="80"/>
          <w:sz w:val="24"/>
          <w:szCs w:val="24"/>
        </w:rPr>
        <w:t xml:space="preserve"> be submitted?</w:t>
      </w:r>
    </w:p>
    <w:p w14:paraId="087C89A3" w14:textId="6BB42C96" w:rsidR="007962E0" w:rsidRDefault="007962E0" w:rsidP="00FA5DAB">
      <w:pPr>
        <w:rPr>
          <w:rFonts w:eastAsia="Calibri" w:cstheme="minorHAnsi"/>
          <w:szCs w:val="20"/>
        </w:rPr>
      </w:pPr>
    </w:p>
    <w:p w14:paraId="6D5B7426" w14:textId="4EF21C0E" w:rsidR="006E35E5" w:rsidRDefault="006E35E5" w:rsidP="00FA5DAB">
      <w:pPr>
        <w:rPr>
          <w:rFonts w:eastAsia="Calibri" w:cstheme="minorHAnsi"/>
          <w:szCs w:val="20"/>
        </w:rPr>
      </w:pPr>
      <w:r>
        <w:rPr>
          <w:rFonts w:eastAsia="Calibri" w:cstheme="minorHAnsi"/>
          <w:szCs w:val="20"/>
        </w:rPr>
        <w:t xml:space="preserve">The submission of case studies follows the annual process for reporting on previous years. </w:t>
      </w:r>
      <w:r w:rsidR="007962E0">
        <w:rPr>
          <w:rFonts w:eastAsia="Calibri" w:cstheme="minorHAnsi"/>
          <w:szCs w:val="20"/>
        </w:rPr>
        <w:t xml:space="preserve">Output indicators for 2024-results reporting and succeeding years </w:t>
      </w:r>
      <w:r>
        <w:rPr>
          <w:rFonts w:eastAsia="Calibri" w:cstheme="minorHAnsi"/>
          <w:szCs w:val="20"/>
        </w:rPr>
        <w:t>should be</w:t>
      </w:r>
      <w:r w:rsidR="007962E0">
        <w:rPr>
          <w:rFonts w:eastAsia="Calibri" w:cstheme="minorHAnsi"/>
          <w:szCs w:val="20"/>
        </w:rPr>
        <w:t xml:space="preserve"> submitted to the MFA through email to the relevant desk officer. </w:t>
      </w:r>
      <w:r>
        <w:rPr>
          <w:rFonts w:eastAsia="Calibri" w:cstheme="minorHAnsi"/>
          <w:szCs w:val="20"/>
        </w:rPr>
        <w:t>This should include both aggregated reporting totals for the underlying indicators for the two standard outputs and disaggregated tables as described in Annex 9</w:t>
      </w:r>
      <w:r w:rsidR="002D6C71">
        <w:rPr>
          <w:rFonts w:eastAsia="Calibri" w:cstheme="minorHAnsi"/>
          <w:szCs w:val="20"/>
        </w:rPr>
        <w:t>B</w:t>
      </w:r>
      <w:r>
        <w:rPr>
          <w:rFonts w:eastAsia="Calibri" w:cstheme="minorHAnsi"/>
          <w:szCs w:val="20"/>
        </w:rPr>
        <w:t xml:space="preserve"> and 9</w:t>
      </w:r>
      <w:r w:rsidR="002D6C71">
        <w:rPr>
          <w:rFonts w:eastAsia="Calibri" w:cstheme="minorHAnsi"/>
          <w:szCs w:val="20"/>
        </w:rPr>
        <w:t>C</w:t>
      </w:r>
      <w:r>
        <w:rPr>
          <w:rFonts w:eastAsia="Calibri" w:cstheme="minorHAnsi"/>
          <w:szCs w:val="20"/>
        </w:rPr>
        <w:t>.</w:t>
      </w:r>
    </w:p>
    <w:p w14:paraId="52338C40" w14:textId="6CDF2979" w:rsidR="00063BF2" w:rsidRDefault="006E35E5" w:rsidP="00FA5DAB">
      <w:pPr>
        <w:rPr>
          <w:rFonts w:eastAsia="Calibri" w:cstheme="minorHAnsi"/>
          <w:szCs w:val="20"/>
        </w:rPr>
      </w:pPr>
      <w:r>
        <w:rPr>
          <w:rFonts w:eastAsia="Calibri" w:cstheme="minorHAnsi"/>
          <w:szCs w:val="20"/>
        </w:rPr>
        <w:t xml:space="preserve">For annual reporting on 2022 and 2023, the requirement for reporting on the two standard outputs through IATI still pertains. </w:t>
      </w:r>
      <w:r w:rsidR="00FA5DAB">
        <w:rPr>
          <w:rFonts w:eastAsia="Calibri" w:cstheme="minorHAnsi"/>
          <w:szCs w:val="20"/>
        </w:rPr>
        <w:t xml:space="preserve">Output indicators </w:t>
      </w:r>
      <w:r w:rsidR="007962E0">
        <w:rPr>
          <w:rFonts w:eastAsia="Calibri" w:cstheme="minorHAnsi"/>
          <w:szCs w:val="20"/>
        </w:rPr>
        <w:t xml:space="preserve">relevant to the 2022 and 2023-results reporting </w:t>
      </w:r>
      <w:r w:rsidR="00FA5DAB">
        <w:rPr>
          <w:rFonts w:eastAsia="Calibri" w:cstheme="minorHAnsi"/>
          <w:szCs w:val="20"/>
        </w:rPr>
        <w:t>should be published through the strategic partners’ activity file</w:t>
      </w:r>
      <w:r w:rsidR="00BB2EB6">
        <w:rPr>
          <w:rFonts w:eastAsia="Calibri" w:cstheme="minorHAnsi"/>
          <w:szCs w:val="20"/>
        </w:rPr>
        <w:t>,</w:t>
      </w:r>
      <w:r w:rsidR="00FA5DAB">
        <w:rPr>
          <w:rFonts w:eastAsia="Calibri" w:cstheme="minorHAnsi"/>
          <w:szCs w:val="20"/>
        </w:rPr>
        <w:t xml:space="preserve"> following the agreed deadline for annual progress reports. Unlike the case studies, however, output indicators should be placed at the root-level of the overall SPA activity – or its equivalent parts, if divided into two parts for </w:t>
      </w:r>
      <w:r w:rsidR="00063BF2">
        <w:rPr>
          <w:rFonts w:eastAsia="Calibri" w:cstheme="minorHAnsi"/>
          <w:szCs w:val="20"/>
        </w:rPr>
        <w:t xml:space="preserve">respectively </w:t>
      </w:r>
      <w:r w:rsidR="00FA5DAB">
        <w:rPr>
          <w:rFonts w:eastAsia="Calibri" w:cstheme="minorHAnsi"/>
          <w:szCs w:val="20"/>
        </w:rPr>
        <w:t>Lot DEV and Lot HUM</w:t>
      </w:r>
      <w:r w:rsidR="00063BF2">
        <w:rPr>
          <w:rFonts w:eastAsia="Calibri" w:cstheme="minorHAnsi"/>
          <w:szCs w:val="20"/>
        </w:rPr>
        <w:t xml:space="preserve"> </w:t>
      </w:r>
      <w:r w:rsidR="00FA5DAB">
        <w:rPr>
          <w:rFonts w:eastAsia="Calibri" w:cstheme="minorHAnsi"/>
          <w:szCs w:val="20"/>
        </w:rPr>
        <w:t xml:space="preserve">– as the aggregated values for output indicators span across sub-project activities. </w:t>
      </w:r>
    </w:p>
    <w:p w14:paraId="473E2578" w14:textId="4F0903F9" w:rsidR="00FA5DAB" w:rsidRDefault="00FA5DAB" w:rsidP="00FA5DAB">
      <w:pPr>
        <w:rPr>
          <w:rFonts w:eastAsia="Calibri" w:cstheme="minorHAnsi"/>
          <w:szCs w:val="20"/>
        </w:rPr>
      </w:pPr>
      <w:r>
        <w:rPr>
          <w:rFonts w:eastAsia="Calibri" w:cstheme="minorHAnsi"/>
          <w:szCs w:val="20"/>
        </w:rPr>
        <w:t xml:space="preserve">This also means that the output indicators will not be tagged </w:t>
      </w:r>
      <w:r w:rsidR="00063BF2">
        <w:rPr>
          <w:rFonts w:eastAsia="Calibri" w:cstheme="minorHAnsi"/>
          <w:szCs w:val="20"/>
        </w:rPr>
        <w:t xml:space="preserve">using the same level of detail as case studies, which are contained under specific activities. Instead, output indicators should be tagged using the &lt;results&gt; tag and </w:t>
      </w:r>
      <w:r w:rsidR="00E0001D">
        <w:rPr>
          <w:rFonts w:eastAsia="Calibri" w:cstheme="minorHAnsi"/>
          <w:szCs w:val="20"/>
        </w:rPr>
        <w:t xml:space="preserve">the </w:t>
      </w:r>
      <w:r w:rsidR="00063BF2">
        <w:rPr>
          <w:rFonts w:eastAsia="Calibri" w:cstheme="minorHAnsi"/>
          <w:szCs w:val="20"/>
        </w:rPr>
        <w:t>underlying &lt;indicator&gt; tag. Partners should use the &lt;dimension&gt; tag to indicate disaggregation</w:t>
      </w:r>
      <w:r w:rsidR="00CF795F">
        <w:rPr>
          <w:rFonts w:eastAsia="Calibri" w:cstheme="minorHAnsi"/>
          <w:szCs w:val="20"/>
        </w:rPr>
        <w:t>,</w:t>
      </w:r>
      <w:r w:rsidR="00063BF2">
        <w:rPr>
          <w:rFonts w:eastAsia="Calibri" w:cstheme="minorHAnsi"/>
          <w:szCs w:val="20"/>
        </w:rPr>
        <w:t xml:space="preserve"> based on the separate guidanc</w:t>
      </w:r>
      <w:r w:rsidR="00CF795F">
        <w:rPr>
          <w:rFonts w:eastAsia="Calibri" w:cstheme="minorHAnsi"/>
          <w:szCs w:val="20"/>
        </w:rPr>
        <w:t>e for the two output indicators</w:t>
      </w:r>
      <w:r w:rsidR="00063BF2">
        <w:rPr>
          <w:rFonts w:eastAsia="Calibri" w:cstheme="minorHAnsi"/>
          <w:szCs w:val="20"/>
        </w:rPr>
        <w:t xml:space="preserve">, </w:t>
      </w:r>
      <w:r w:rsidR="00AF2519">
        <w:rPr>
          <w:rFonts w:eastAsia="Calibri" w:cstheme="minorHAnsi"/>
          <w:szCs w:val="20"/>
        </w:rPr>
        <w:t>and</w:t>
      </w:r>
      <w:r w:rsidR="00063BF2">
        <w:rPr>
          <w:rFonts w:eastAsia="Calibri" w:cstheme="minorHAnsi"/>
          <w:szCs w:val="20"/>
        </w:rPr>
        <w:t xml:space="preserve"> nested under the &lt;indicator&gt; tag.</w:t>
      </w:r>
    </w:p>
    <w:p w14:paraId="4BDFC39D" w14:textId="5A782469" w:rsidR="007002B7" w:rsidRPr="000C2FAA" w:rsidRDefault="007002B7" w:rsidP="007002B7">
      <w:pPr>
        <w:jc w:val="center"/>
        <w:rPr>
          <w:rFonts w:eastAsia="Calibri" w:cstheme="minorHAnsi"/>
          <w:b/>
          <w:bCs/>
          <w:szCs w:val="20"/>
        </w:rPr>
      </w:pPr>
      <w:r w:rsidRPr="000C2FAA">
        <w:rPr>
          <w:rFonts w:eastAsia="Calibri" w:cstheme="minorHAnsi"/>
          <w:b/>
          <w:bCs/>
          <w:szCs w:val="20"/>
        </w:rPr>
        <w:t xml:space="preserve">Table </w:t>
      </w:r>
      <w:r>
        <w:rPr>
          <w:rFonts w:eastAsia="Calibri" w:cstheme="minorHAnsi"/>
          <w:b/>
          <w:bCs/>
          <w:szCs w:val="20"/>
        </w:rPr>
        <w:t>5:</w:t>
      </w:r>
      <w:r w:rsidRPr="000C2FAA">
        <w:rPr>
          <w:rFonts w:eastAsia="Calibri" w:cstheme="minorHAnsi"/>
          <w:b/>
          <w:bCs/>
          <w:szCs w:val="20"/>
        </w:rPr>
        <w:t xml:space="preserve"> </w:t>
      </w:r>
      <w:r>
        <w:rPr>
          <w:rFonts w:eastAsia="Calibri" w:cstheme="minorHAnsi"/>
          <w:b/>
          <w:bCs/>
          <w:szCs w:val="20"/>
        </w:rPr>
        <w:t>Summary of IATI hierarchy for submitting case studies and output indicators</w:t>
      </w:r>
      <w:r w:rsidR="007962E0">
        <w:rPr>
          <w:rFonts w:eastAsia="Calibri" w:cstheme="minorHAnsi"/>
          <w:b/>
          <w:bCs/>
          <w:szCs w:val="20"/>
        </w:rPr>
        <w:t xml:space="preserve"> for 2022 and 2023</w:t>
      </w:r>
    </w:p>
    <w:tbl>
      <w:tblPr>
        <w:tblStyle w:val="TableGrid"/>
        <w:tblW w:w="0" w:type="auto"/>
        <w:shd w:val="clear" w:color="auto" w:fill="E0E8E4" w:themeFill="accent6" w:themeFillTint="33"/>
        <w:tblLook w:val="04A0" w:firstRow="1" w:lastRow="0" w:firstColumn="1" w:lastColumn="0" w:noHBand="0" w:noVBand="1"/>
      </w:tblPr>
      <w:tblGrid>
        <w:gridCol w:w="10456"/>
      </w:tblGrid>
      <w:tr w:rsidR="007002B7" w14:paraId="12F13563" w14:textId="77777777" w:rsidTr="000A007B">
        <w:trPr>
          <w:cnfStyle w:val="100000000000" w:firstRow="1" w:lastRow="0" w:firstColumn="0" w:lastColumn="0" w:oddVBand="0" w:evenVBand="0" w:oddHBand="0" w:evenHBand="0" w:firstRowFirstColumn="0" w:firstRowLastColumn="0" w:lastRowFirstColumn="0" w:lastRowLastColumn="0"/>
        </w:trPr>
        <w:tc>
          <w:tcPr>
            <w:tcW w:w="10456" w:type="dxa"/>
            <w:tcBorders>
              <w:top w:val="single" w:sz="4" w:space="0" w:color="auto"/>
              <w:left w:val="single" w:sz="4" w:space="0" w:color="auto"/>
              <w:bottom w:val="single" w:sz="4" w:space="0" w:color="auto"/>
              <w:right w:val="single" w:sz="4" w:space="0" w:color="auto"/>
            </w:tcBorders>
            <w:shd w:val="clear" w:color="auto" w:fill="E0E8E4" w:themeFill="accent6" w:themeFillTint="33"/>
          </w:tcPr>
          <w:p w14:paraId="06EE591A" w14:textId="5A387235" w:rsidR="007002B7" w:rsidRPr="00EB6734" w:rsidRDefault="007002B7" w:rsidP="00327A55">
            <w:pPr>
              <w:tabs>
                <w:tab w:val="left" w:pos="317"/>
                <w:tab w:val="left" w:pos="679"/>
                <w:tab w:val="left" w:pos="1025"/>
              </w:tabs>
              <w:spacing w:before="120" w:after="0"/>
              <w:ind w:right="284"/>
              <w:rPr>
                <w:rFonts w:eastAsia="Calibri" w:cstheme="minorHAnsi"/>
                <w:color w:val="auto"/>
                <w:sz w:val="22"/>
              </w:rPr>
            </w:pPr>
            <w:r w:rsidRPr="00EB6734">
              <w:rPr>
                <w:rFonts w:eastAsia="Calibri" w:cstheme="minorHAnsi"/>
                <w:i/>
                <w:color w:val="auto"/>
                <w:sz w:val="22"/>
              </w:rPr>
              <w:t xml:space="preserve">The following provides a schematic representation of the IATI hierarchy to be used </w:t>
            </w:r>
            <w:r w:rsidR="00356E0C" w:rsidRPr="00EB6734">
              <w:rPr>
                <w:rFonts w:eastAsia="Calibri" w:cstheme="minorHAnsi"/>
                <w:i/>
                <w:color w:val="auto"/>
                <w:sz w:val="22"/>
              </w:rPr>
              <w:t>(</w:t>
            </w:r>
            <w:r w:rsidRPr="00EB6734">
              <w:rPr>
                <w:rFonts w:eastAsia="Calibri" w:cstheme="minorHAnsi"/>
                <w:i/>
                <w:color w:val="auto"/>
                <w:sz w:val="22"/>
              </w:rPr>
              <w:t>note: not actual XML</w:t>
            </w:r>
            <w:r w:rsidR="00356E0C" w:rsidRPr="00EB6734">
              <w:rPr>
                <w:rFonts w:eastAsia="Calibri" w:cstheme="minorHAnsi"/>
                <w:i/>
                <w:color w:val="auto"/>
                <w:sz w:val="22"/>
              </w:rPr>
              <w:t>)</w:t>
            </w:r>
            <w:r w:rsidRPr="00EB6734">
              <w:rPr>
                <w:rFonts w:eastAsia="Calibri" w:cstheme="minorHAnsi"/>
                <w:i/>
                <w:color w:val="auto"/>
                <w:sz w:val="22"/>
              </w:rPr>
              <w:t>:</w:t>
            </w:r>
            <w:r w:rsidRPr="00EB6734">
              <w:rPr>
                <w:rFonts w:eastAsia="Calibri" w:cstheme="minorHAnsi"/>
                <w:i/>
                <w:color w:val="auto"/>
                <w:sz w:val="22"/>
              </w:rPr>
              <w:br/>
            </w:r>
            <w:r w:rsidRPr="00EB6734">
              <w:rPr>
                <w:rFonts w:eastAsia="Calibri" w:cstheme="minorHAnsi"/>
                <w:b/>
                <w:color w:val="auto"/>
                <w:sz w:val="22"/>
              </w:rPr>
              <w:br/>
              <w:t>&lt;SPA Activity File&gt;</w:t>
            </w:r>
            <w:r w:rsidRPr="00EB6734">
              <w:rPr>
                <w:rFonts w:eastAsia="Calibri" w:cstheme="minorHAnsi"/>
                <w:b/>
                <w:i/>
                <w:color w:val="auto"/>
                <w:sz w:val="22"/>
              </w:rPr>
              <w:br/>
            </w:r>
            <w:r w:rsidRPr="00EB6734">
              <w:rPr>
                <w:rFonts w:eastAsia="Calibri" w:cstheme="minorHAnsi"/>
                <w:color w:val="auto"/>
                <w:sz w:val="22"/>
              </w:rPr>
              <w:tab/>
              <w:t>&lt;result&gt;</w:t>
            </w:r>
            <w:r w:rsidRPr="00EB6734">
              <w:rPr>
                <w:rFonts w:eastAsia="Calibri" w:cstheme="minorHAnsi"/>
                <w:color w:val="auto"/>
                <w:sz w:val="22"/>
              </w:rPr>
              <w:br/>
            </w:r>
            <w:r w:rsidRPr="00EB6734">
              <w:rPr>
                <w:rFonts w:eastAsia="Calibri" w:cstheme="minorHAnsi"/>
                <w:color w:val="auto"/>
                <w:sz w:val="22"/>
              </w:rPr>
              <w:tab/>
            </w:r>
            <w:r w:rsidRPr="00EB6734">
              <w:rPr>
                <w:rFonts w:eastAsia="Calibri" w:cstheme="minorHAnsi"/>
                <w:color w:val="auto"/>
                <w:sz w:val="22"/>
              </w:rPr>
              <w:tab/>
              <w:t>&lt;indicator&gt;</w:t>
            </w:r>
            <w:r w:rsidRPr="00EB6734">
              <w:rPr>
                <w:rFonts w:eastAsia="Calibri" w:cstheme="minorHAnsi"/>
                <w:color w:val="auto"/>
                <w:sz w:val="22"/>
              </w:rPr>
              <w:br/>
            </w:r>
            <w:r w:rsidRPr="00EB6734">
              <w:rPr>
                <w:rFonts w:eastAsia="Calibri" w:cstheme="minorHAnsi"/>
                <w:color w:val="auto"/>
                <w:sz w:val="22"/>
              </w:rPr>
              <w:tab/>
            </w:r>
            <w:r w:rsidRPr="00EB6734">
              <w:rPr>
                <w:rFonts w:eastAsia="Calibri" w:cstheme="minorHAnsi"/>
                <w:color w:val="auto"/>
                <w:sz w:val="22"/>
              </w:rPr>
              <w:tab/>
            </w:r>
            <w:r w:rsidRPr="00EB6734">
              <w:rPr>
                <w:rFonts w:eastAsia="Calibri" w:cstheme="minorHAnsi"/>
                <w:color w:val="auto"/>
                <w:sz w:val="22"/>
              </w:rPr>
              <w:tab/>
              <w:t>&lt;--  Place output indicators here --&gt;</w:t>
            </w:r>
            <w:r w:rsidRPr="00EB6734">
              <w:rPr>
                <w:rFonts w:eastAsia="Calibri" w:cstheme="minorHAnsi"/>
                <w:color w:val="auto"/>
                <w:sz w:val="22"/>
              </w:rPr>
              <w:br/>
            </w:r>
            <w:r w:rsidRPr="00EB6734">
              <w:rPr>
                <w:rFonts w:eastAsia="Calibri" w:cstheme="minorHAnsi"/>
                <w:color w:val="auto"/>
                <w:sz w:val="22"/>
              </w:rPr>
              <w:tab/>
            </w:r>
            <w:r w:rsidRPr="00EB6734">
              <w:rPr>
                <w:rFonts w:eastAsia="Calibri" w:cstheme="minorHAnsi"/>
                <w:color w:val="auto"/>
                <w:sz w:val="22"/>
              </w:rPr>
              <w:tab/>
              <w:t>&lt;/indicator&gt;</w:t>
            </w:r>
            <w:r w:rsidRPr="00EB6734">
              <w:rPr>
                <w:rFonts w:eastAsia="Calibri" w:cstheme="minorHAnsi"/>
                <w:color w:val="auto"/>
                <w:sz w:val="22"/>
              </w:rPr>
              <w:br/>
            </w:r>
            <w:r w:rsidRPr="00EB6734">
              <w:rPr>
                <w:rFonts w:eastAsia="Calibri" w:cstheme="minorHAnsi"/>
                <w:color w:val="auto"/>
                <w:sz w:val="22"/>
              </w:rPr>
              <w:tab/>
              <w:t>&lt;/result&gt;</w:t>
            </w:r>
            <w:r w:rsidRPr="00EB6734">
              <w:rPr>
                <w:rFonts w:eastAsia="Calibri" w:cstheme="minorHAnsi"/>
                <w:color w:val="auto"/>
                <w:sz w:val="22"/>
              </w:rPr>
              <w:br/>
            </w:r>
            <w:r w:rsidRPr="00EB6734">
              <w:rPr>
                <w:rFonts w:eastAsia="Calibri" w:cstheme="minorHAnsi"/>
                <w:b/>
                <w:color w:val="auto"/>
                <w:sz w:val="22"/>
              </w:rPr>
              <w:t>&lt;/SPA Activity File&gt;</w:t>
            </w:r>
          </w:p>
          <w:p w14:paraId="7CF9B712" w14:textId="5F176A12" w:rsidR="007002B7" w:rsidRPr="00327A55" w:rsidRDefault="007002B7" w:rsidP="00327A55">
            <w:pPr>
              <w:tabs>
                <w:tab w:val="left" w:pos="317"/>
                <w:tab w:val="left" w:pos="679"/>
                <w:tab w:val="left" w:pos="1025"/>
              </w:tabs>
              <w:spacing w:before="120" w:after="0"/>
              <w:ind w:right="284"/>
              <w:rPr>
                <w:rFonts w:eastAsia="Calibri" w:cstheme="minorHAnsi"/>
                <w:color w:val="auto"/>
                <w:sz w:val="22"/>
              </w:rPr>
            </w:pPr>
            <w:r w:rsidRPr="00EB6734">
              <w:rPr>
                <w:rFonts w:eastAsia="Calibri" w:cstheme="minorHAnsi"/>
                <w:b/>
                <w:color w:val="auto"/>
                <w:sz w:val="22"/>
              </w:rPr>
              <w:t>&lt;Project Activity&gt;</w:t>
            </w:r>
            <w:r w:rsidRPr="00EB6734">
              <w:rPr>
                <w:rFonts w:eastAsia="Calibri" w:cstheme="minorHAnsi"/>
                <w:color w:val="auto"/>
                <w:sz w:val="22"/>
              </w:rPr>
              <w:br/>
            </w:r>
            <w:r w:rsidRPr="00EB6734">
              <w:rPr>
                <w:rFonts w:eastAsia="Calibri" w:cstheme="minorHAnsi"/>
                <w:color w:val="auto"/>
                <w:sz w:val="22"/>
              </w:rPr>
              <w:tab/>
              <w:t>&lt;result&gt;</w:t>
            </w:r>
            <w:r w:rsidRPr="00EB6734">
              <w:rPr>
                <w:rFonts w:eastAsia="Calibri" w:cstheme="minorHAnsi"/>
                <w:color w:val="auto"/>
                <w:sz w:val="22"/>
              </w:rPr>
              <w:br/>
            </w:r>
            <w:r w:rsidRPr="00EB6734">
              <w:rPr>
                <w:rFonts w:eastAsia="Calibri" w:cstheme="minorHAnsi"/>
                <w:color w:val="auto"/>
                <w:sz w:val="22"/>
              </w:rPr>
              <w:tab/>
            </w:r>
            <w:r w:rsidRPr="00EB6734">
              <w:rPr>
                <w:rFonts w:eastAsia="Calibri" w:cstheme="minorHAnsi"/>
                <w:color w:val="auto"/>
                <w:sz w:val="22"/>
              </w:rPr>
              <w:tab/>
              <w:t>&lt;-- Place case studies here --&gt;</w:t>
            </w:r>
            <w:r w:rsidRPr="00EB6734">
              <w:rPr>
                <w:rFonts w:eastAsia="Calibri" w:cstheme="minorHAnsi"/>
                <w:color w:val="auto"/>
                <w:sz w:val="22"/>
              </w:rPr>
              <w:br/>
            </w:r>
            <w:r w:rsidRPr="00EB6734">
              <w:rPr>
                <w:rFonts w:eastAsia="Calibri" w:cstheme="minorHAnsi"/>
                <w:color w:val="auto"/>
                <w:sz w:val="22"/>
              </w:rPr>
              <w:tab/>
              <w:t>&lt;/result&gt;</w:t>
            </w:r>
            <w:r w:rsidRPr="00EB6734">
              <w:rPr>
                <w:rFonts w:eastAsia="Calibri" w:cstheme="minorHAnsi"/>
                <w:color w:val="auto"/>
                <w:sz w:val="22"/>
              </w:rPr>
              <w:br/>
            </w:r>
            <w:r w:rsidRPr="00EB6734">
              <w:rPr>
                <w:rFonts w:eastAsia="Calibri" w:cstheme="minorHAnsi"/>
                <w:b/>
                <w:color w:val="auto"/>
                <w:sz w:val="22"/>
              </w:rPr>
              <w:t>&lt;/Project Activity&gt;</w:t>
            </w:r>
            <w:r w:rsidRPr="00EB6734">
              <w:rPr>
                <w:rFonts w:eastAsia="Calibri" w:cstheme="minorHAnsi"/>
                <w:b/>
                <w:color w:val="auto"/>
                <w:sz w:val="22"/>
              </w:rPr>
              <w:br/>
            </w:r>
          </w:p>
        </w:tc>
      </w:tr>
    </w:tbl>
    <w:p w14:paraId="04F44261" w14:textId="77777777" w:rsidR="00063BF2" w:rsidRPr="00FE0F3F" w:rsidRDefault="00063BF2" w:rsidP="00FA5DAB">
      <w:pPr>
        <w:rPr>
          <w:rFonts w:eastAsia="Calibri" w:cstheme="minorHAnsi"/>
          <w:szCs w:val="20"/>
        </w:rPr>
      </w:pPr>
    </w:p>
    <w:sectPr w:rsidR="00063BF2" w:rsidRPr="00FE0F3F" w:rsidSect="00FD72AE">
      <w:type w:val="continuous"/>
      <w:pgSz w:w="11906" w:h="16838"/>
      <w:pgMar w:top="720" w:right="720" w:bottom="720" w:left="720" w:header="709" w:footer="283" w:gutter="0"/>
      <w:cols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F79E" w14:textId="77777777" w:rsidR="00996A54" w:rsidRDefault="00996A54" w:rsidP="007422F3">
      <w:r>
        <w:separator/>
      </w:r>
    </w:p>
  </w:endnote>
  <w:endnote w:type="continuationSeparator" w:id="0">
    <w:p w14:paraId="092D3121" w14:textId="77777777" w:rsidR="00996A54" w:rsidRDefault="00996A54" w:rsidP="007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16803"/>
      <w:docPartObj>
        <w:docPartGallery w:val="Page Numbers (Bottom of Page)"/>
        <w:docPartUnique/>
      </w:docPartObj>
    </w:sdtPr>
    <w:sdtEndPr>
      <w:rPr>
        <w:noProof/>
      </w:rPr>
    </w:sdtEndPr>
    <w:sdtContent>
      <w:p w14:paraId="3F853726" w14:textId="13EA0F85" w:rsidR="00BE2DF1" w:rsidRDefault="00BE2DF1">
        <w:pPr>
          <w:pStyle w:val="Footer"/>
          <w:jc w:val="center"/>
        </w:pPr>
        <w:r>
          <w:fldChar w:fldCharType="begin"/>
        </w:r>
        <w:r>
          <w:instrText xml:space="preserve"> PAGE   \* MERGEFORMAT </w:instrText>
        </w:r>
        <w:r>
          <w:fldChar w:fldCharType="separate"/>
        </w:r>
        <w:r w:rsidR="00973DC1">
          <w:rPr>
            <w:noProof/>
          </w:rPr>
          <w:t>8</w:t>
        </w:r>
        <w:r>
          <w:rPr>
            <w:noProof/>
          </w:rPr>
          <w:fldChar w:fldCharType="end"/>
        </w:r>
      </w:p>
    </w:sdtContent>
  </w:sdt>
  <w:p w14:paraId="3C21F6BA" w14:textId="519E4335" w:rsidR="00D567A7" w:rsidRDefault="00D567A7" w:rsidP="00D567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C4C5" w14:textId="77777777" w:rsidR="00996A54" w:rsidRDefault="00996A54" w:rsidP="007422F3">
      <w:r>
        <w:separator/>
      </w:r>
    </w:p>
  </w:footnote>
  <w:footnote w:type="continuationSeparator" w:id="0">
    <w:p w14:paraId="3E5CBBC6" w14:textId="77777777" w:rsidR="00996A54" w:rsidRDefault="00996A54" w:rsidP="007422F3">
      <w:r>
        <w:continuationSeparator/>
      </w:r>
    </w:p>
  </w:footnote>
  <w:footnote w:id="1">
    <w:p w14:paraId="2A9BDEE3" w14:textId="77777777" w:rsidR="005C5F4C" w:rsidRPr="00600B4C" w:rsidRDefault="005C5F4C" w:rsidP="005C5F4C">
      <w:pPr>
        <w:pStyle w:val="FootnoteText"/>
        <w:rPr>
          <w:sz w:val="18"/>
          <w:szCs w:val="18"/>
        </w:rPr>
      </w:pPr>
      <w:r w:rsidRPr="00600B4C">
        <w:rPr>
          <w:rStyle w:val="FootnoteReference"/>
          <w:sz w:val="18"/>
          <w:szCs w:val="18"/>
        </w:rPr>
        <w:footnoteRef/>
      </w:r>
      <w:r w:rsidRPr="00600B4C">
        <w:rPr>
          <w:sz w:val="18"/>
          <w:szCs w:val="18"/>
        </w:rPr>
        <w:t xml:space="preserve"> See https://openaid.um.dk</w:t>
      </w:r>
    </w:p>
  </w:footnote>
  <w:footnote w:id="2">
    <w:p w14:paraId="20D80DC6" w14:textId="77777777" w:rsidR="000F6DDE" w:rsidRDefault="000F6DDE" w:rsidP="000F6DDE">
      <w:pPr>
        <w:pStyle w:val="FootnoteText"/>
      </w:pPr>
      <w:r w:rsidRPr="00065FA5">
        <w:rPr>
          <w:rStyle w:val="FootnoteReference"/>
          <w:sz w:val="18"/>
          <w:szCs w:val="18"/>
        </w:rPr>
        <w:footnoteRef/>
      </w:r>
      <w:r w:rsidRPr="00065FA5">
        <w:rPr>
          <w:sz w:val="18"/>
          <w:szCs w:val="18"/>
        </w:rPr>
        <w:t xml:space="preserve"> Note that </w:t>
      </w:r>
      <w:r>
        <w:rPr>
          <w:sz w:val="18"/>
          <w:szCs w:val="18"/>
        </w:rPr>
        <w:t xml:space="preserve">changes in </w:t>
      </w:r>
      <w:r w:rsidRPr="00065FA5">
        <w:rPr>
          <w:sz w:val="18"/>
          <w:szCs w:val="18"/>
        </w:rPr>
        <w:t>all of the d</w:t>
      </w:r>
      <w:r>
        <w:rPr>
          <w:sz w:val="18"/>
          <w:szCs w:val="18"/>
        </w:rPr>
        <w:t>omains</w:t>
      </w:r>
      <w:r w:rsidRPr="00065FA5">
        <w:rPr>
          <w:sz w:val="18"/>
          <w:szCs w:val="18"/>
        </w:rPr>
        <w:t xml:space="preserve"> should eventually contribute to this central </w:t>
      </w:r>
      <w:r>
        <w:rPr>
          <w:sz w:val="18"/>
          <w:szCs w:val="18"/>
        </w:rPr>
        <w:t>domain</w:t>
      </w:r>
      <w:r w:rsidRPr="00065FA5">
        <w:rPr>
          <w:sz w:val="18"/>
          <w:szCs w:val="18"/>
        </w:rPr>
        <w:t xml:space="preserve">. However, some work (such as direct humanitarian support or the work of Southern partners directly with communities) could also feature under this </w:t>
      </w:r>
      <w:r>
        <w:rPr>
          <w:sz w:val="18"/>
          <w:szCs w:val="18"/>
        </w:rPr>
        <w:t>domain</w:t>
      </w:r>
      <w:r w:rsidRPr="00065FA5">
        <w:rPr>
          <w:sz w:val="18"/>
          <w:szCs w:val="18"/>
        </w:rPr>
        <w:t>.</w:t>
      </w:r>
      <w:r>
        <w:rPr>
          <w:sz w:val="18"/>
          <w:szCs w:val="18"/>
        </w:rPr>
        <w:t xml:space="preserve"> </w:t>
      </w:r>
    </w:p>
  </w:footnote>
  <w:footnote w:id="3">
    <w:p w14:paraId="5BD5B5BB" w14:textId="77777777" w:rsidR="005C5F4C" w:rsidRPr="00BB5449" w:rsidRDefault="005C5F4C" w:rsidP="005C5F4C">
      <w:pPr>
        <w:pStyle w:val="FootnoteText"/>
        <w:rPr>
          <w:sz w:val="18"/>
          <w:szCs w:val="18"/>
        </w:rPr>
      </w:pPr>
      <w:r w:rsidRPr="00BB5449">
        <w:rPr>
          <w:rStyle w:val="FootnoteReference"/>
          <w:sz w:val="18"/>
          <w:szCs w:val="18"/>
        </w:rPr>
        <w:footnoteRef/>
      </w:r>
      <w:r w:rsidRPr="00BB5449">
        <w:rPr>
          <w:sz w:val="18"/>
          <w:szCs w:val="18"/>
        </w:rPr>
        <w:t xml:space="preserve"> This is quite different from quantitative sampling, which normally involves random or representative sampling.</w:t>
      </w:r>
    </w:p>
  </w:footnote>
  <w:footnote w:id="4">
    <w:p w14:paraId="30A9AB6A" w14:textId="77777777" w:rsidR="005C5F4C" w:rsidRPr="00BB5449" w:rsidRDefault="005C5F4C" w:rsidP="005C5F4C">
      <w:pPr>
        <w:pStyle w:val="FootnoteText"/>
        <w:rPr>
          <w:sz w:val="18"/>
          <w:szCs w:val="18"/>
        </w:rPr>
      </w:pPr>
      <w:r w:rsidRPr="00BB5449">
        <w:rPr>
          <w:rStyle w:val="FootnoteReference"/>
          <w:sz w:val="18"/>
          <w:szCs w:val="18"/>
        </w:rPr>
        <w:footnoteRef/>
      </w:r>
      <w:r w:rsidRPr="00BB5449">
        <w:rPr>
          <w:sz w:val="18"/>
          <w:szCs w:val="18"/>
        </w:rPr>
        <w:t xml:space="preserve"> The definition of the cases is based heavily on the work of Michael Patton.</w:t>
      </w:r>
    </w:p>
  </w:footnote>
  <w:footnote w:id="5">
    <w:p w14:paraId="36E37AB0" w14:textId="0A3E5DBC" w:rsidR="00616AD4" w:rsidRPr="00BB5449" w:rsidRDefault="00616AD4">
      <w:pPr>
        <w:pStyle w:val="FootnoteText"/>
        <w:rPr>
          <w:sz w:val="18"/>
          <w:szCs w:val="18"/>
        </w:rPr>
      </w:pPr>
      <w:r w:rsidRPr="00BB5449">
        <w:rPr>
          <w:rStyle w:val="FootnoteReference"/>
          <w:sz w:val="18"/>
          <w:szCs w:val="18"/>
        </w:rPr>
        <w:footnoteRef/>
      </w:r>
      <w:r w:rsidRPr="00BB5449">
        <w:rPr>
          <w:sz w:val="18"/>
          <w:szCs w:val="18"/>
        </w:rPr>
        <w:t xml:space="preserve"> Normally, one or two sampling methods are selected for a research project or evaluation. In this case, the sampling methods will be used to outline some options for SPA partners. Therefore there is no need to restrict SPA partners to only one or two sampling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8607496D59E94C9282F5BD572D372B32"/>
      </w:placeholder>
      <w:temporary/>
      <w:showingPlcHdr/>
      <w15:appearance w15:val="hidden"/>
    </w:sdtPr>
    <w:sdtContent>
      <w:p w14:paraId="638E4857" w14:textId="77777777" w:rsidR="00973DC1" w:rsidRDefault="00973DC1">
        <w:pPr>
          <w:pStyle w:val="Header"/>
        </w:pPr>
        <w:r>
          <w:rPr>
            <w:lang w:val="da-DK"/>
          </w:rPr>
          <w:t>[Skriv her]</w:t>
        </w:r>
      </w:p>
    </w:sdtContent>
  </w:sdt>
  <w:p w14:paraId="3E42412F" w14:textId="77777777" w:rsidR="00973DC1" w:rsidRDefault="00973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A07D" w14:textId="598A0144" w:rsidR="00973DC1" w:rsidRDefault="00973DC1">
    <w:pPr>
      <w:pStyle w:val="Header"/>
    </w:pPr>
    <w:r>
      <w:rPr>
        <w:noProof/>
        <w:lang w:val="da-DK" w:eastAsia="da-DK"/>
      </w:rPr>
      <w:drawing>
        <wp:inline distT="0" distB="0" distL="0" distR="0" wp14:anchorId="1E5F6D04" wp14:editId="4DE5E7BA">
          <wp:extent cx="1755140" cy="396240"/>
          <wp:effectExtent l="0" t="0" r="0" b="381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33"/>
    <w:multiLevelType w:val="hybridMultilevel"/>
    <w:tmpl w:val="6F14C016"/>
    <w:lvl w:ilvl="0" w:tplc="8CBC78B6">
      <w:start w:val="1"/>
      <w:numFmt w:val="bullet"/>
      <w:pStyle w:val="References"/>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62DF"/>
    <w:multiLevelType w:val="hybridMultilevel"/>
    <w:tmpl w:val="AE24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9349A"/>
    <w:multiLevelType w:val="hybridMultilevel"/>
    <w:tmpl w:val="7B9EF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0532F"/>
    <w:multiLevelType w:val="hybridMultilevel"/>
    <w:tmpl w:val="E228D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661557"/>
    <w:multiLevelType w:val="hybridMultilevel"/>
    <w:tmpl w:val="C316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E3054"/>
    <w:multiLevelType w:val="hybridMultilevel"/>
    <w:tmpl w:val="9A287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236494"/>
    <w:multiLevelType w:val="hybridMultilevel"/>
    <w:tmpl w:val="8E7C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34117"/>
    <w:multiLevelType w:val="hybridMultilevel"/>
    <w:tmpl w:val="EC2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F111B"/>
    <w:multiLevelType w:val="hybridMultilevel"/>
    <w:tmpl w:val="660C32C8"/>
    <w:lvl w:ilvl="0" w:tplc="B406C458">
      <w:start w:val="1"/>
      <w:numFmt w:val="decimal"/>
      <w:pStyle w:val="Bulletnumbers"/>
      <w:suff w:val="space"/>
      <w:lvlText w:val="%1."/>
      <w:lvlJc w:val="left"/>
      <w:pPr>
        <w:ind w:left="360" w:hanging="3"/>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D2013D"/>
    <w:multiLevelType w:val="hybridMultilevel"/>
    <w:tmpl w:val="68C853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A3CEF"/>
    <w:multiLevelType w:val="hybridMultilevel"/>
    <w:tmpl w:val="CF326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63479"/>
    <w:multiLevelType w:val="hybridMultilevel"/>
    <w:tmpl w:val="8C82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A0F6A"/>
    <w:multiLevelType w:val="hybridMultilevel"/>
    <w:tmpl w:val="28C8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B204B"/>
    <w:multiLevelType w:val="multilevel"/>
    <w:tmpl w:val="38F69E02"/>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8717D"/>
    <w:multiLevelType w:val="hybridMultilevel"/>
    <w:tmpl w:val="40E8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D11D50"/>
    <w:multiLevelType w:val="hybridMultilevel"/>
    <w:tmpl w:val="5F6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C239B"/>
    <w:multiLevelType w:val="hybridMultilevel"/>
    <w:tmpl w:val="70B072B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BB30673"/>
    <w:multiLevelType w:val="hybridMultilevel"/>
    <w:tmpl w:val="53AE8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350C6B"/>
    <w:multiLevelType w:val="hybridMultilevel"/>
    <w:tmpl w:val="3E082192"/>
    <w:lvl w:ilvl="0" w:tplc="7FAA1CD8">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26433"/>
    <w:multiLevelType w:val="hybridMultilevel"/>
    <w:tmpl w:val="96BA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40081"/>
    <w:multiLevelType w:val="hybridMultilevel"/>
    <w:tmpl w:val="E0E0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9B2AA7"/>
    <w:multiLevelType w:val="hybridMultilevel"/>
    <w:tmpl w:val="157A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119455">
    <w:abstractNumId w:val="13"/>
  </w:num>
  <w:num w:numId="2" w16cid:durableId="1934778686">
    <w:abstractNumId w:val="8"/>
  </w:num>
  <w:num w:numId="3" w16cid:durableId="1307012850">
    <w:abstractNumId w:val="0"/>
  </w:num>
  <w:num w:numId="4" w16cid:durableId="582295874">
    <w:abstractNumId w:val="18"/>
  </w:num>
  <w:num w:numId="5" w16cid:durableId="1126895100">
    <w:abstractNumId w:val="9"/>
  </w:num>
  <w:num w:numId="6" w16cid:durableId="1326589229">
    <w:abstractNumId w:val="7"/>
  </w:num>
  <w:num w:numId="7" w16cid:durableId="1909147974">
    <w:abstractNumId w:val="19"/>
  </w:num>
  <w:num w:numId="8" w16cid:durableId="516240294">
    <w:abstractNumId w:val="12"/>
  </w:num>
  <w:num w:numId="9" w16cid:durableId="833107391">
    <w:abstractNumId w:val="1"/>
  </w:num>
  <w:num w:numId="10" w16cid:durableId="554704575">
    <w:abstractNumId w:val="15"/>
  </w:num>
  <w:num w:numId="11" w16cid:durableId="905799097">
    <w:abstractNumId w:val="5"/>
  </w:num>
  <w:num w:numId="12" w16cid:durableId="151412289">
    <w:abstractNumId w:val="17"/>
  </w:num>
  <w:num w:numId="13" w16cid:durableId="157770749">
    <w:abstractNumId w:val="2"/>
  </w:num>
  <w:num w:numId="14" w16cid:durableId="1011833024">
    <w:abstractNumId w:val="14"/>
  </w:num>
  <w:num w:numId="15" w16cid:durableId="2116098207">
    <w:abstractNumId w:val="10"/>
  </w:num>
  <w:num w:numId="16" w16cid:durableId="286743852">
    <w:abstractNumId w:val="3"/>
  </w:num>
  <w:num w:numId="17" w16cid:durableId="1245988828">
    <w:abstractNumId w:val="11"/>
  </w:num>
  <w:num w:numId="18" w16cid:durableId="253780776">
    <w:abstractNumId w:val="4"/>
  </w:num>
  <w:num w:numId="19" w16cid:durableId="1140998931">
    <w:abstractNumId w:val="20"/>
  </w:num>
  <w:num w:numId="20" w16cid:durableId="317653924">
    <w:abstractNumId w:val="21"/>
  </w:num>
  <w:num w:numId="21" w16cid:durableId="620920629">
    <w:abstractNumId w:val="6"/>
  </w:num>
  <w:num w:numId="22" w16cid:durableId="140444861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A7"/>
    <w:rsid w:val="00005D7D"/>
    <w:rsid w:val="00005DC6"/>
    <w:rsid w:val="00014838"/>
    <w:rsid w:val="00016F16"/>
    <w:rsid w:val="000213CB"/>
    <w:rsid w:val="0003592E"/>
    <w:rsid w:val="00042355"/>
    <w:rsid w:val="00053129"/>
    <w:rsid w:val="000548F6"/>
    <w:rsid w:val="00061DE1"/>
    <w:rsid w:val="00063BF2"/>
    <w:rsid w:val="000658D0"/>
    <w:rsid w:val="00065FA5"/>
    <w:rsid w:val="00067734"/>
    <w:rsid w:val="00070FD1"/>
    <w:rsid w:val="000718AF"/>
    <w:rsid w:val="000763F0"/>
    <w:rsid w:val="000772F0"/>
    <w:rsid w:val="00084CB7"/>
    <w:rsid w:val="00094B07"/>
    <w:rsid w:val="000A2D23"/>
    <w:rsid w:val="000A2F8F"/>
    <w:rsid w:val="000B623A"/>
    <w:rsid w:val="000B7D5A"/>
    <w:rsid w:val="000C2616"/>
    <w:rsid w:val="000C2FAA"/>
    <w:rsid w:val="000D0C68"/>
    <w:rsid w:val="000E18B6"/>
    <w:rsid w:val="000E2BB0"/>
    <w:rsid w:val="000F4443"/>
    <w:rsid w:val="000F6DDE"/>
    <w:rsid w:val="001008C7"/>
    <w:rsid w:val="00130C95"/>
    <w:rsid w:val="00131AB9"/>
    <w:rsid w:val="00133670"/>
    <w:rsid w:val="00141B7A"/>
    <w:rsid w:val="00154CD5"/>
    <w:rsid w:val="00156B1B"/>
    <w:rsid w:val="00166504"/>
    <w:rsid w:val="00174EEB"/>
    <w:rsid w:val="001762FC"/>
    <w:rsid w:val="00176C8C"/>
    <w:rsid w:val="001773A8"/>
    <w:rsid w:val="00187FA4"/>
    <w:rsid w:val="00196285"/>
    <w:rsid w:val="001A1052"/>
    <w:rsid w:val="001A7D4F"/>
    <w:rsid w:val="001B3A13"/>
    <w:rsid w:val="001B6372"/>
    <w:rsid w:val="001C41C7"/>
    <w:rsid w:val="001D16EB"/>
    <w:rsid w:val="001D4F89"/>
    <w:rsid w:val="001E3702"/>
    <w:rsid w:val="001E50C0"/>
    <w:rsid w:val="001E692B"/>
    <w:rsid w:val="001E7CF7"/>
    <w:rsid w:val="001F185F"/>
    <w:rsid w:val="001F4577"/>
    <w:rsid w:val="001F7B1B"/>
    <w:rsid w:val="00200F7E"/>
    <w:rsid w:val="00201960"/>
    <w:rsid w:val="00206AE3"/>
    <w:rsid w:val="00207EA0"/>
    <w:rsid w:val="00212A5C"/>
    <w:rsid w:val="00222E9B"/>
    <w:rsid w:val="002263EF"/>
    <w:rsid w:val="0022747F"/>
    <w:rsid w:val="00230550"/>
    <w:rsid w:val="00232345"/>
    <w:rsid w:val="002325BC"/>
    <w:rsid w:val="00234D18"/>
    <w:rsid w:val="002367AA"/>
    <w:rsid w:val="002412D8"/>
    <w:rsid w:val="00241AC1"/>
    <w:rsid w:val="002449CA"/>
    <w:rsid w:val="00254999"/>
    <w:rsid w:val="00254B18"/>
    <w:rsid w:val="002644E3"/>
    <w:rsid w:val="00267E45"/>
    <w:rsid w:val="0027133E"/>
    <w:rsid w:val="00272FBC"/>
    <w:rsid w:val="0027378D"/>
    <w:rsid w:val="00273EC1"/>
    <w:rsid w:val="0027450A"/>
    <w:rsid w:val="002776B4"/>
    <w:rsid w:val="002850C7"/>
    <w:rsid w:val="00285DBE"/>
    <w:rsid w:val="00286105"/>
    <w:rsid w:val="002939FA"/>
    <w:rsid w:val="002945A1"/>
    <w:rsid w:val="002A2C6A"/>
    <w:rsid w:val="002D09E8"/>
    <w:rsid w:val="002D6C71"/>
    <w:rsid w:val="002F27B8"/>
    <w:rsid w:val="002F3538"/>
    <w:rsid w:val="002F4DAE"/>
    <w:rsid w:val="003037F0"/>
    <w:rsid w:val="0030440B"/>
    <w:rsid w:val="00313BD9"/>
    <w:rsid w:val="003145BF"/>
    <w:rsid w:val="00314AF2"/>
    <w:rsid w:val="00315C7E"/>
    <w:rsid w:val="00315FDE"/>
    <w:rsid w:val="00317E35"/>
    <w:rsid w:val="003221BE"/>
    <w:rsid w:val="00326BFE"/>
    <w:rsid w:val="00327A55"/>
    <w:rsid w:val="00334B99"/>
    <w:rsid w:val="003358AD"/>
    <w:rsid w:val="003379BA"/>
    <w:rsid w:val="00340B1B"/>
    <w:rsid w:val="003412BE"/>
    <w:rsid w:val="00341466"/>
    <w:rsid w:val="00351453"/>
    <w:rsid w:val="00351E83"/>
    <w:rsid w:val="003524AC"/>
    <w:rsid w:val="00355AAC"/>
    <w:rsid w:val="00356E0C"/>
    <w:rsid w:val="0038552A"/>
    <w:rsid w:val="0038674E"/>
    <w:rsid w:val="00393919"/>
    <w:rsid w:val="0039719F"/>
    <w:rsid w:val="003976A7"/>
    <w:rsid w:val="003A1234"/>
    <w:rsid w:val="003A3540"/>
    <w:rsid w:val="003A5B24"/>
    <w:rsid w:val="003B601C"/>
    <w:rsid w:val="003C68D4"/>
    <w:rsid w:val="003D0B44"/>
    <w:rsid w:val="003D1DCA"/>
    <w:rsid w:val="003E06AD"/>
    <w:rsid w:val="003E13D4"/>
    <w:rsid w:val="003E21EA"/>
    <w:rsid w:val="003E728E"/>
    <w:rsid w:val="00403F10"/>
    <w:rsid w:val="00404E87"/>
    <w:rsid w:val="004169D4"/>
    <w:rsid w:val="00420A55"/>
    <w:rsid w:val="00420E4B"/>
    <w:rsid w:val="00420F55"/>
    <w:rsid w:val="00421253"/>
    <w:rsid w:val="00422AF4"/>
    <w:rsid w:val="00433BAB"/>
    <w:rsid w:val="00434773"/>
    <w:rsid w:val="004359D8"/>
    <w:rsid w:val="00445454"/>
    <w:rsid w:val="004503C4"/>
    <w:rsid w:val="0047018D"/>
    <w:rsid w:val="00473257"/>
    <w:rsid w:val="00480C91"/>
    <w:rsid w:val="004824ED"/>
    <w:rsid w:val="004908EB"/>
    <w:rsid w:val="00492373"/>
    <w:rsid w:val="004A5D56"/>
    <w:rsid w:val="004B077D"/>
    <w:rsid w:val="004C4B88"/>
    <w:rsid w:val="004D0751"/>
    <w:rsid w:val="004D159D"/>
    <w:rsid w:val="004D4BC6"/>
    <w:rsid w:val="004D774A"/>
    <w:rsid w:val="004F0064"/>
    <w:rsid w:val="0050306B"/>
    <w:rsid w:val="00504FC9"/>
    <w:rsid w:val="005127E3"/>
    <w:rsid w:val="00512809"/>
    <w:rsid w:val="005248B2"/>
    <w:rsid w:val="00536599"/>
    <w:rsid w:val="005379FB"/>
    <w:rsid w:val="00542D1B"/>
    <w:rsid w:val="00545D50"/>
    <w:rsid w:val="00545D75"/>
    <w:rsid w:val="005468D6"/>
    <w:rsid w:val="00555A25"/>
    <w:rsid w:val="005604E4"/>
    <w:rsid w:val="005612C3"/>
    <w:rsid w:val="00562657"/>
    <w:rsid w:val="005629A3"/>
    <w:rsid w:val="00563DC3"/>
    <w:rsid w:val="0057077E"/>
    <w:rsid w:val="005852F3"/>
    <w:rsid w:val="0059747C"/>
    <w:rsid w:val="005A1D79"/>
    <w:rsid w:val="005A1EBB"/>
    <w:rsid w:val="005A4E6E"/>
    <w:rsid w:val="005B1107"/>
    <w:rsid w:val="005B75AC"/>
    <w:rsid w:val="005B7A66"/>
    <w:rsid w:val="005B7D57"/>
    <w:rsid w:val="005C1690"/>
    <w:rsid w:val="005C5F4C"/>
    <w:rsid w:val="005D4F2D"/>
    <w:rsid w:val="005D5E36"/>
    <w:rsid w:val="005D5E5F"/>
    <w:rsid w:val="005D6FC4"/>
    <w:rsid w:val="005D7208"/>
    <w:rsid w:val="005E24E0"/>
    <w:rsid w:val="005E2BEB"/>
    <w:rsid w:val="005E4990"/>
    <w:rsid w:val="005E6968"/>
    <w:rsid w:val="005F0C65"/>
    <w:rsid w:val="005F1E5B"/>
    <w:rsid w:val="005F60F4"/>
    <w:rsid w:val="006006AA"/>
    <w:rsid w:val="00600B4C"/>
    <w:rsid w:val="00605055"/>
    <w:rsid w:val="00605B5C"/>
    <w:rsid w:val="006115C6"/>
    <w:rsid w:val="00611DE4"/>
    <w:rsid w:val="006150A8"/>
    <w:rsid w:val="00616AD4"/>
    <w:rsid w:val="0062352B"/>
    <w:rsid w:val="00631495"/>
    <w:rsid w:val="006317F0"/>
    <w:rsid w:val="006323EE"/>
    <w:rsid w:val="0063279D"/>
    <w:rsid w:val="0064011E"/>
    <w:rsid w:val="00651C19"/>
    <w:rsid w:val="0066510A"/>
    <w:rsid w:val="006741FB"/>
    <w:rsid w:val="00674E92"/>
    <w:rsid w:val="00683618"/>
    <w:rsid w:val="00683D0D"/>
    <w:rsid w:val="006871C6"/>
    <w:rsid w:val="006B382F"/>
    <w:rsid w:val="006B756B"/>
    <w:rsid w:val="006D5643"/>
    <w:rsid w:val="006D6B6E"/>
    <w:rsid w:val="006E35E5"/>
    <w:rsid w:val="006E4AA9"/>
    <w:rsid w:val="006E7D23"/>
    <w:rsid w:val="006F04DA"/>
    <w:rsid w:val="007002B7"/>
    <w:rsid w:val="00705C0D"/>
    <w:rsid w:val="00720C9F"/>
    <w:rsid w:val="00726E32"/>
    <w:rsid w:val="00732D79"/>
    <w:rsid w:val="00736BC4"/>
    <w:rsid w:val="00737878"/>
    <w:rsid w:val="007400FA"/>
    <w:rsid w:val="00741BAC"/>
    <w:rsid w:val="007422F3"/>
    <w:rsid w:val="00746914"/>
    <w:rsid w:val="00747FCB"/>
    <w:rsid w:val="00763758"/>
    <w:rsid w:val="00767168"/>
    <w:rsid w:val="007672B4"/>
    <w:rsid w:val="0077761E"/>
    <w:rsid w:val="00780127"/>
    <w:rsid w:val="007816A3"/>
    <w:rsid w:val="00794432"/>
    <w:rsid w:val="007957F5"/>
    <w:rsid w:val="007962E0"/>
    <w:rsid w:val="007A3677"/>
    <w:rsid w:val="007A62CF"/>
    <w:rsid w:val="007A697B"/>
    <w:rsid w:val="007B0276"/>
    <w:rsid w:val="007D6442"/>
    <w:rsid w:val="007F7AAA"/>
    <w:rsid w:val="00801A8E"/>
    <w:rsid w:val="00801B67"/>
    <w:rsid w:val="0080261E"/>
    <w:rsid w:val="008070DF"/>
    <w:rsid w:val="008108D6"/>
    <w:rsid w:val="00810D39"/>
    <w:rsid w:val="00811D62"/>
    <w:rsid w:val="00812F92"/>
    <w:rsid w:val="00817707"/>
    <w:rsid w:val="0082045C"/>
    <w:rsid w:val="0082394B"/>
    <w:rsid w:val="008254AD"/>
    <w:rsid w:val="00835EE9"/>
    <w:rsid w:val="008371C8"/>
    <w:rsid w:val="00846A5D"/>
    <w:rsid w:val="00860640"/>
    <w:rsid w:val="00863A03"/>
    <w:rsid w:val="008705B6"/>
    <w:rsid w:val="00871A0D"/>
    <w:rsid w:val="008910CF"/>
    <w:rsid w:val="00895EED"/>
    <w:rsid w:val="008A51E0"/>
    <w:rsid w:val="008B7088"/>
    <w:rsid w:val="008C6D48"/>
    <w:rsid w:val="008D042A"/>
    <w:rsid w:val="008D4CEA"/>
    <w:rsid w:val="008D5AE7"/>
    <w:rsid w:val="008D773E"/>
    <w:rsid w:val="008E7CE6"/>
    <w:rsid w:val="008F036A"/>
    <w:rsid w:val="0090166A"/>
    <w:rsid w:val="00906F0A"/>
    <w:rsid w:val="0091240F"/>
    <w:rsid w:val="0092001E"/>
    <w:rsid w:val="00922764"/>
    <w:rsid w:val="00924164"/>
    <w:rsid w:val="009331A8"/>
    <w:rsid w:val="00937A05"/>
    <w:rsid w:val="009424A7"/>
    <w:rsid w:val="009424BE"/>
    <w:rsid w:val="009440E9"/>
    <w:rsid w:val="009537A7"/>
    <w:rsid w:val="00970513"/>
    <w:rsid w:val="00973DC1"/>
    <w:rsid w:val="00974EF0"/>
    <w:rsid w:val="0097548B"/>
    <w:rsid w:val="009759CF"/>
    <w:rsid w:val="009775A1"/>
    <w:rsid w:val="00977DAC"/>
    <w:rsid w:val="00980298"/>
    <w:rsid w:val="00980CF7"/>
    <w:rsid w:val="009833A7"/>
    <w:rsid w:val="009834DD"/>
    <w:rsid w:val="00991C52"/>
    <w:rsid w:val="00996A54"/>
    <w:rsid w:val="00997804"/>
    <w:rsid w:val="009A705B"/>
    <w:rsid w:val="009A7901"/>
    <w:rsid w:val="009B69FF"/>
    <w:rsid w:val="009C137D"/>
    <w:rsid w:val="009C36F5"/>
    <w:rsid w:val="009C474F"/>
    <w:rsid w:val="009C4C0F"/>
    <w:rsid w:val="009D6DA2"/>
    <w:rsid w:val="009E1282"/>
    <w:rsid w:val="009E244B"/>
    <w:rsid w:val="009E49FE"/>
    <w:rsid w:val="009F43A1"/>
    <w:rsid w:val="00A02722"/>
    <w:rsid w:val="00A33561"/>
    <w:rsid w:val="00A33F92"/>
    <w:rsid w:val="00A35B5A"/>
    <w:rsid w:val="00A3763A"/>
    <w:rsid w:val="00A43575"/>
    <w:rsid w:val="00A52666"/>
    <w:rsid w:val="00A66F2F"/>
    <w:rsid w:val="00A87519"/>
    <w:rsid w:val="00A9685E"/>
    <w:rsid w:val="00AA06FA"/>
    <w:rsid w:val="00AA4A32"/>
    <w:rsid w:val="00AA7AA0"/>
    <w:rsid w:val="00AB5A15"/>
    <w:rsid w:val="00AC776A"/>
    <w:rsid w:val="00AD2E95"/>
    <w:rsid w:val="00AF2519"/>
    <w:rsid w:val="00AF7DFC"/>
    <w:rsid w:val="00B021E0"/>
    <w:rsid w:val="00B02696"/>
    <w:rsid w:val="00B0413F"/>
    <w:rsid w:val="00B043B2"/>
    <w:rsid w:val="00B05D61"/>
    <w:rsid w:val="00B11955"/>
    <w:rsid w:val="00B132A6"/>
    <w:rsid w:val="00B32C16"/>
    <w:rsid w:val="00B437C1"/>
    <w:rsid w:val="00B5157F"/>
    <w:rsid w:val="00B562E8"/>
    <w:rsid w:val="00B7096C"/>
    <w:rsid w:val="00B71700"/>
    <w:rsid w:val="00B7645D"/>
    <w:rsid w:val="00B7664C"/>
    <w:rsid w:val="00B80C10"/>
    <w:rsid w:val="00BA1A85"/>
    <w:rsid w:val="00BA1E9D"/>
    <w:rsid w:val="00BA3F43"/>
    <w:rsid w:val="00BA71A4"/>
    <w:rsid w:val="00BB0E7C"/>
    <w:rsid w:val="00BB2EB6"/>
    <w:rsid w:val="00BB5449"/>
    <w:rsid w:val="00BB7DED"/>
    <w:rsid w:val="00BC3C62"/>
    <w:rsid w:val="00BE0A19"/>
    <w:rsid w:val="00BE1BC8"/>
    <w:rsid w:val="00BE2DF1"/>
    <w:rsid w:val="00BE7728"/>
    <w:rsid w:val="00BF6382"/>
    <w:rsid w:val="00BF6AFC"/>
    <w:rsid w:val="00BF73BA"/>
    <w:rsid w:val="00C0327B"/>
    <w:rsid w:val="00C1050A"/>
    <w:rsid w:val="00C14EC0"/>
    <w:rsid w:val="00C20CDB"/>
    <w:rsid w:val="00C228CC"/>
    <w:rsid w:val="00C23009"/>
    <w:rsid w:val="00C34DC1"/>
    <w:rsid w:val="00C35A03"/>
    <w:rsid w:val="00C41645"/>
    <w:rsid w:val="00C41895"/>
    <w:rsid w:val="00C41E61"/>
    <w:rsid w:val="00C4386D"/>
    <w:rsid w:val="00C5341D"/>
    <w:rsid w:val="00C53ED6"/>
    <w:rsid w:val="00C56B39"/>
    <w:rsid w:val="00C63C38"/>
    <w:rsid w:val="00C73C92"/>
    <w:rsid w:val="00C80D88"/>
    <w:rsid w:val="00C90966"/>
    <w:rsid w:val="00CB07A2"/>
    <w:rsid w:val="00CD191F"/>
    <w:rsid w:val="00CD3B1E"/>
    <w:rsid w:val="00CE3B65"/>
    <w:rsid w:val="00CF795F"/>
    <w:rsid w:val="00D02F13"/>
    <w:rsid w:val="00D04580"/>
    <w:rsid w:val="00D05135"/>
    <w:rsid w:val="00D23133"/>
    <w:rsid w:val="00D23AED"/>
    <w:rsid w:val="00D355C7"/>
    <w:rsid w:val="00D42743"/>
    <w:rsid w:val="00D567A7"/>
    <w:rsid w:val="00D64071"/>
    <w:rsid w:val="00D650E1"/>
    <w:rsid w:val="00D6775B"/>
    <w:rsid w:val="00D8318F"/>
    <w:rsid w:val="00D91DE5"/>
    <w:rsid w:val="00D95B40"/>
    <w:rsid w:val="00DA42FE"/>
    <w:rsid w:val="00DA4EFC"/>
    <w:rsid w:val="00DA753F"/>
    <w:rsid w:val="00DC0533"/>
    <w:rsid w:val="00DC15E1"/>
    <w:rsid w:val="00DC1C8E"/>
    <w:rsid w:val="00DC27EC"/>
    <w:rsid w:val="00DD2615"/>
    <w:rsid w:val="00DD6D9B"/>
    <w:rsid w:val="00DD7597"/>
    <w:rsid w:val="00DE4B4C"/>
    <w:rsid w:val="00DF5419"/>
    <w:rsid w:val="00E0001D"/>
    <w:rsid w:val="00E014DA"/>
    <w:rsid w:val="00E036F1"/>
    <w:rsid w:val="00E06910"/>
    <w:rsid w:val="00E14780"/>
    <w:rsid w:val="00E20CB1"/>
    <w:rsid w:val="00E22808"/>
    <w:rsid w:val="00E45967"/>
    <w:rsid w:val="00E4617F"/>
    <w:rsid w:val="00E51B2B"/>
    <w:rsid w:val="00E52028"/>
    <w:rsid w:val="00E52D44"/>
    <w:rsid w:val="00E73893"/>
    <w:rsid w:val="00E831B8"/>
    <w:rsid w:val="00E83874"/>
    <w:rsid w:val="00E926B4"/>
    <w:rsid w:val="00E92D60"/>
    <w:rsid w:val="00E94C5D"/>
    <w:rsid w:val="00E96325"/>
    <w:rsid w:val="00EA1760"/>
    <w:rsid w:val="00EA2D71"/>
    <w:rsid w:val="00EA3705"/>
    <w:rsid w:val="00EA5140"/>
    <w:rsid w:val="00EA5785"/>
    <w:rsid w:val="00EB6734"/>
    <w:rsid w:val="00EB6DD3"/>
    <w:rsid w:val="00EC060F"/>
    <w:rsid w:val="00EC0F73"/>
    <w:rsid w:val="00ED0C85"/>
    <w:rsid w:val="00ED5BBD"/>
    <w:rsid w:val="00ED7BC1"/>
    <w:rsid w:val="00EE55A1"/>
    <w:rsid w:val="00F00D7D"/>
    <w:rsid w:val="00F02EE2"/>
    <w:rsid w:val="00F03B03"/>
    <w:rsid w:val="00F14665"/>
    <w:rsid w:val="00F3236D"/>
    <w:rsid w:val="00F61FF1"/>
    <w:rsid w:val="00F701D6"/>
    <w:rsid w:val="00F70CE9"/>
    <w:rsid w:val="00F90D41"/>
    <w:rsid w:val="00F92392"/>
    <w:rsid w:val="00F92555"/>
    <w:rsid w:val="00F96170"/>
    <w:rsid w:val="00FA5DAB"/>
    <w:rsid w:val="00FB0A8C"/>
    <w:rsid w:val="00FB3B70"/>
    <w:rsid w:val="00FC12B1"/>
    <w:rsid w:val="00FC406E"/>
    <w:rsid w:val="00FC5162"/>
    <w:rsid w:val="00FD72AE"/>
    <w:rsid w:val="00FE0F3F"/>
    <w:rsid w:val="00FE4890"/>
    <w:rsid w:val="00FE526A"/>
    <w:rsid w:val="00FF2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A9D6"/>
  <w15:chartTrackingRefBased/>
  <w15:docId w15:val="{7901090D-9BE9-4C62-8037-DAFD7B2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D"/>
    <w:pPr>
      <w:spacing w:after="200" w:line="240" w:lineRule="auto"/>
    </w:pPr>
    <w:rPr>
      <w:sz w:val="20"/>
    </w:rPr>
  </w:style>
  <w:style w:type="paragraph" w:styleId="Heading1">
    <w:name w:val="heading 1"/>
    <w:aliases w:val="Title - Line 1"/>
    <w:basedOn w:val="Normal"/>
    <w:next w:val="Normal"/>
    <w:link w:val="Heading1Char"/>
    <w:uiPriority w:val="9"/>
    <w:qFormat/>
    <w:rsid w:val="00445454"/>
    <w:pPr>
      <w:spacing w:after="0"/>
      <w:contextualSpacing/>
      <w:outlineLvl w:val="0"/>
    </w:pPr>
    <w:rPr>
      <w:rFonts w:ascii="Franklin Gothic Demi Cond" w:eastAsia="MS PGothic" w:hAnsi="Franklin Gothic Demi Cond" w:cs="Arial"/>
      <w:caps/>
      <w:color w:val="FFFFFF" w:themeColor="background1"/>
      <w:sz w:val="72"/>
      <w:szCs w:val="48"/>
    </w:rPr>
  </w:style>
  <w:style w:type="paragraph" w:styleId="Heading2">
    <w:name w:val="heading 2"/>
    <w:basedOn w:val="Normal"/>
    <w:next w:val="Normal"/>
    <w:link w:val="Heading2Char"/>
    <w:uiPriority w:val="9"/>
    <w:unhideWhenUsed/>
    <w:qFormat/>
    <w:rsid w:val="004169D4"/>
    <w:pPr>
      <w:keepNext/>
      <w:keepLines/>
      <w:spacing w:before="480" w:after="120" w:line="280" w:lineRule="exact"/>
      <w:outlineLvl w:val="1"/>
    </w:pPr>
    <w:rPr>
      <w:rFonts w:eastAsiaTheme="majorEastAsia" w:cstheme="majorBidi"/>
      <w:b/>
      <w:i/>
      <w:color w:val="6A8C7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Line 1 Char"/>
    <w:basedOn w:val="DefaultParagraphFont"/>
    <w:link w:val="Heading1"/>
    <w:uiPriority w:val="9"/>
    <w:rsid w:val="00445454"/>
    <w:rPr>
      <w:rFonts w:ascii="Franklin Gothic Demi Cond" w:eastAsia="MS PGothic" w:hAnsi="Franklin Gothic Demi Cond" w:cs="Arial"/>
      <w:caps/>
      <w:color w:val="FFFFFF" w:themeColor="background1"/>
      <w:sz w:val="72"/>
      <w:szCs w:val="48"/>
    </w:rPr>
  </w:style>
  <w:style w:type="paragraph" w:customStyle="1" w:styleId="Bulletlist">
    <w:name w:val="Bullet list"/>
    <w:basedOn w:val="Normal"/>
    <w:link w:val="BulletlistChar"/>
    <w:qFormat/>
    <w:rsid w:val="008910CF"/>
    <w:pPr>
      <w:numPr>
        <w:numId w:val="1"/>
      </w:numPr>
      <w:ind w:left="714" w:hanging="357"/>
      <w:contextualSpacing/>
    </w:pPr>
    <w:rPr>
      <w:rFonts w:eastAsia="MS PGothic" w:cs="Arial"/>
      <w:noProof/>
      <w:szCs w:val="24"/>
      <w:lang w:eastAsia="en-GB"/>
    </w:rPr>
  </w:style>
  <w:style w:type="character" w:customStyle="1" w:styleId="BulletlistChar">
    <w:name w:val="Bullet list Char"/>
    <w:basedOn w:val="DefaultParagraphFont"/>
    <w:link w:val="Bulletlist"/>
    <w:rsid w:val="008910CF"/>
    <w:rPr>
      <w:rFonts w:eastAsia="MS PGothic" w:cs="Arial"/>
      <w:noProof/>
      <w:sz w:val="20"/>
      <w:szCs w:val="24"/>
      <w:lang w:eastAsia="en-GB"/>
    </w:rPr>
  </w:style>
  <w:style w:type="character" w:customStyle="1" w:styleId="Heading2Char">
    <w:name w:val="Heading 2 Char"/>
    <w:basedOn w:val="DefaultParagraphFont"/>
    <w:link w:val="Heading2"/>
    <w:uiPriority w:val="9"/>
    <w:rsid w:val="004169D4"/>
    <w:rPr>
      <w:rFonts w:eastAsiaTheme="majorEastAsia" w:cstheme="majorBidi"/>
      <w:b/>
      <w:i/>
      <w:color w:val="6A8C7D"/>
      <w:sz w:val="32"/>
      <w:szCs w:val="26"/>
    </w:rPr>
  </w:style>
  <w:style w:type="paragraph" w:styleId="Header">
    <w:name w:val="header"/>
    <w:basedOn w:val="Normal"/>
    <w:link w:val="HeaderChar"/>
    <w:uiPriority w:val="99"/>
    <w:unhideWhenUsed/>
    <w:rsid w:val="007422F3"/>
    <w:pPr>
      <w:tabs>
        <w:tab w:val="center" w:pos="4513"/>
        <w:tab w:val="right" w:pos="9026"/>
      </w:tabs>
    </w:pPr>
  </w:style>
  <w:style w:type="character" w:customStyle="1" w:styleId="HeaderChar">
    <w:name w:val="Header Char"/>
    <w:basedOn w:val="DefaultParagraphFont"/>
    <w:link w:val="Header"/>
    <w:uiPriority w:val="99"/>
    <w:rsid w:val="007422F3"/>
  </w:style>
  <w:style w:type="paragraph" w:styleId="Footer">
    <w:name w:val="footer"/>
    <w:basedOn w:val="Normal"/>
    <w:link w:val="FooterChar"/>
    <w:uiPriority w:val="99"/>
    <w:unhideWhenUsed/>
    <w:rsid w:val="007422F3"/>
    <w:pPr>
      <w:tabs>
        <w:tab w:val="center" w:pos="4513"/>
        <w:tab w:val="right" w:pos="9026"/>
      </w:tabs>
    </w:pPr>
  </w:style>
  <w:style w:type="character" w:customStyle="1" w:styleId="FooterChar">
    <w:name w:val="Footer Char"/>
    <w:basedOn w:val="DefaultParagraphFont"/>
    <w:link w:val="Footer"/>
    <w:uiPriority w:val="99"/>
    <w:rsid w:val="007422F3"/>
  </w:style>
  <w:style w:type="paragraph" w:customStyle="1" w:styleId="Bulletnumbers">
    <w:name w:val="Bullet numbers"/>
    <w:basedOn w:val="Bulletlist"/>
    <w:link w:val="BulletnumbersChar"/>
    <w:qFormat/>
    <w:rsid w:val="00555A25"/>
    <w:pPr>
      <w:numPr>
        <w:numId w:val="2"/>
      </w:numPr>
      <w:ind w:left="221" w:hanging="227"/>
    </w:pPr>
  </w:style>
  <w:style w:type="character" w:customStyle="1" w:styleId="BulletnumbersChar">
    <w:name w:val="Bullet numbers Char"/>
    <w:basedOn w:val="BulletlistChar"/>
    <w:link w:val="Bulletnumbers"/>
    <w:rsid w:val="00555A25"/>
    <w:rPr>
      <w:rFonts w:eastAsia="MS PGothic" w:cs="Arial"/>
      <w:noProof/>
      <w:sz w:val="20"/>
      <w:szCs w:val="24"/>
      <w:lang w:eastAsia="en-GB"/>
    </w:rPr>
  </w:style>
  <w:style w:type="paragraph" w:styleId="ListParagraph">
    <w:name w:val="List Paragraph"/>
    <w:aliases w:val="small normal,Colorful List - Accent 11,Paragraph"/>
    <w:basedOn w:val="Normal"/>
    <w:link w:val="ListParagraphChar"/>
    <w:uiPriority w:val="34"/>
    <w:qFormat/>
    <w:rsid w:val="00545D75"/>
    <w:pPr>
      <w:ind w:left="720"/>
      <w:contextualSpacing/>
    </w:pPr>
  </w:style>
  <w:style w:type="paragraph" w:customStyle="1" w:styleId="Bulletpoints">
    <w:name w:val="Bullet points"/>
    <w:basedOn w:val="ListParagraph"/>
    <w:link w:val="BulletpointsChar"/>
    <w:qFormat/>
    <w:rsid w:val="004169D4"/>
    <w:pPr>
      <w:numPr>
        <w:numId w:val="4"/>
      </w:numPr>
      <w:spacing w:after="120"/>
      <w:ind w:left="284" w:hanging="284"/>
      <w:contextualSpacing w:val="0"/>
    </w:pPr>
    <w:rPr>
      <w:color w:val="4F685D" w:themeColor="accent6" w:themeShade="BF"/>
    </w:rPr>
  </w:style>
  <w:style w:type="table" w:styleId="TableGrid">
    <w:name w:val="Table Grid"/>
    <w:basedOn w:val="TableNormal"/>
    <w:uiPriority w:val="59"/>
    <w:rsid w:val="008705B6"/>
    <w:pPr>
      <w:spacing w:after="0" w:line="240" w:lineRule="auto"/>
    </w:pPr>
    <w:rPr>
      <w:rFonts w:cs="Arial"/>
      <w:kern w:val="24"/>
      <w:sz w:val="18"/>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tcPr>
    <w:tblStylePr w:type="firstRow">
      <w:pPr>
        <w:jc w:val="left"/>
      </w:pPr>
      <w:rPr>
        <w:rFonts w:asciiTheme="minorHAnsi" w:hAnsiTheme="minorHAnsi"/>
        <w:color w:val="FFFFFF" w:themeColor="background1"/>
        <w:sz w:val="18"/>
      </w:rPr>
      <w:tblPr/>
      <w:tcPr>
        <w:shd w:val="clear" w:color="auto" w:fill="6A8C7D"/>
      </w:tcPr>
    </w:tblStylePr>
  </w:style>
  <w:style w:type="character" w:customStyle="1" w:styleId="ListParagraphChar">
    <w:name w:val="List Paragraph Char"/>
    <w:aliases w:val="small normal Char,Colorful List - Accent 11 Char,Paragraph Char"/>
    <w:basedOn w:val="DefaultParagraphFont"/>
    <w:link w:val="ListParagraph"/>
    <w:uiPriority w:val="34"/>
    <w:rsid w:val="00545D75"/>
  </w:style>
  <w:style w:type="character" w:customStyle="1" w:styleId="BulletpointsChar">
    <w:name w:val="Bullet points Char"/>
    <w:basedOn w:val="ListParagraphChar"/>
    <w:link w:val="Bulletpoints"/>
    <w:rsid w:val="004169D4"/>
    <w:rPr>
      <w:color w:val="4F685D" w:themeColor="accent6" w:themeShade="BF"/>
      <w:sz w:val="20"/>
    </w:rPr>
  </w:style>
  <w:style w:type="character" w:styleId="Hyperlink">
    <w:name w:val="Hyperlink"/>
    <w:basedOn w:val="DefaultParagraphFont"/>
    <w:uiPriority w:val="99"/>
    <w:unhideWhenUsed/>
    <w:rsid w:val="00B80C10"/>
    <w:rPr>
      <w:color w:val="7750FF" w:themeColor="hyperlink"/>
      <w:u w:val="single"/>
    </w:rPr>
  </w:style>
  <w:style w:type="paragraph" w:customStyle="1" w:styleId="Abstract">
    <w:name w:val="Abstract"/>
    <w:basedOn w:val="Normal"/>
    <w:link w:val="AbstractChar"/>
    <w:qFormat/>
    <w:rsid w:val="003E21EA"/>
    <w:pPr>
      <w:spacing w:before="360" w:line="280" w:lineRule="exact"/>
    </w:pPr>
    <w:rPr>
      <w:rFonts w:eastAsia="MS PGothic" w:cs="Arial"/>
      <w:color w:val="000000"/>
      <w:sz w:val="24"/>
      <w:szCs w:val="24"/>
    </w:rPr>
  </w:style>
  <w:style w:type="character" w:customStyle="1" w:styleId="AbstractChar">
    <w:name w:val="Abstract Char"/>
    <w:basedOn w:val="DefaultParagraphFont"/>
    <w:link w:val="Abstract"/>
    <w:rsid w:val="003E21EA"/>
    <w:rPr>
      <w:rFonts w:eastAsia="MS PGothic" w:cs="Arial"/>
      <w:color w:val="000000"/>
      <w:sz w:val="24"/>
      <w:szCs w:val="24"/>
    </w:rPr>
  </w:style>
  <w:style w:type="paragraph" w:customStyle="1" w:styleId="RightTextbox">
    <w:name w:val="Right Text box"/>
    <w:basedOn w:val="Normal"/>
    <w:link w:val="RightTextboxChar"/>
    <w:qFormat/>
    <w:rsid w:val="002F4DAE"/>
    <w:pPr>
      <w:spacing w:after="120"/>
      <w:ind w:left="227" w:right="567"/>
    </w:pPr>
    <w:rPr>
      <w:color w:val="000000" w:themeColor="text1"/>
    </w:rPr>
  </w:style>
  <w:style w:type="paragraph" w:customStyle="1" w:styleId="RightTextboxheading">
    <w:name w:val="Right Text box heading"/>
    <w:basedOn w:val="Heading2"/>
    <w:link w:val="RightTextboxheadingChar"/>
    <w:qFormat/>
    <w:rsid w:val="002F4DAE"/>
    <w:pPr>
      <w:spacing w:before="120"/>
      <w:ind w:left="227" w:right="567"/>
    </w:pPr>
    <w:rPr>
      <w:color w:val="000000" w:themeColor="text1"/>
    </w:rPr>
  </w:style>
  <w:style w:type="character" w:customStyle="1" w:styleId="RightTextboxChar">
    <w:name w:val="Right Text box Char"/>
    <w:basedOn w:val="DefaultParagraphFont"/>
    <w:link w:val="RightTextbox"/>
    <w:rsid w:val="002F4DAE"/>
    <w:rPr>
      <w:color w:val="000000" w:themeColor="text1"/>
      <w:sz w:val="20"/>
    </w:rPr>
  </w:style>
  <w:style w:type="table" w:styleId="MediumShading1-Accent4">
    <w:name w:val="Medium Shading 1 Accent 4"/>
    <w:basedOn w:val="TableNormal"/>
    <w:uiPriority w:val="63"/>
    <w:rsid w:val="002449CA"/>
    <w:pPr>
      <w:spacing w:after="0" w:line="240" w:lineRule="auto"/>
    </w:pPr>
    <w:rPr>
      <w:rFonts w:ascii="Arial" w:hAnsi="Arial" w:cs="Arial"/>
      <w:color w:val="E36C0A"/>
      <w:kern w:val="24"/>
      <w:szCs w:val="24"/>
    </w:rPr>
    <w:tblPr>
      <w:tblStyleRowBandSize w:val="1"/>
      <w:tblStyleColBandSize w:val="1"/>
      <w:tbl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single" w:sz="8" w:space="0" w:color="EA9459" w:themeColor="accent4" w:themeTint="BF"/>
      </w:tblBorders>
    </w:tblPr>
    <w:tblStylePr w:type="firstRow">
      <w:pPr>
        <w:spacing w:before="0" w:after="0" w:line="240" w:lineRule="auto"/>
      </w:pPr>
      <w:rPr>
        <w:b/>
        <w:bCs/>
        <w:color w:val="FFFFFF" w:themeColor="background1"/>
      </w:rPr>
      <w:tblPr/>
      <w:tcPr>
        <w:tcBorders>
          <w:top w:val="single" w:sz="8"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shd w:val="clear" w:color="auto" w:fill="E37122" w:themeFill="accent4"/>
      </w:tcPr>
    </w:tblStylePr>
    <w:tblStylePr w:type="lastRow">
      <w:pPr>
        <w:spacing w:before="0" w:after="0" w:line="240" w:lineRule="auto"/>
      </w:pPr>
      <w:rPr>
        <w:b/>
        <w:bCs/>
      </w:rPr>
      <w:tblPr/>
      <w:tcPr>
        <w:tcBorders>
          <w:top w:val="double" w:sz="6" w:space="0" w:color="EA9459" w:themeColor="accent4" w:themeTint="BF"/>
          <w:left w:val="single" w:sz="8" w:space="0" w:color="EA9459" w:themeColor="accent4" w:themeTint="BF"/>
          <w:bottom w:val="single" w:sz="8" w:space="0" w:color="EA9459" w:themeColor="accent4" w:themeTint="BF"/>
          <w:right w:val="single" w:sz="8" w:space="0" w:color="EA94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BC8" w:themeFill="accent4" w:themeFillTint="3F"/>
      </w:tcPr>
    </w:tblStylePr>
    <w:tblStylePr w:type="band1Horz">
      <w:tblPr/>
      <w:tcPr>
        <w:tcBorders>
          <w:insideH w:val="nil"/>
          <w:insideV w:val="nil"/>
        </w:tcBorders>
        <w:shd w:val="clear" w:color="auto" w:fill="F8DBC8" w:themeFill="accent4" w:themeFillTint="3F"/>
      </w:tcPr>
    </w:tblStylePr>
    <w:tblStylePr w:type="band2Horz">
      <w:tblPr/>
      <w:tcPr>
        <w:tcBorders>
          <w:insideH w:val="nil"/>
          <w:insideV w:val="nil"/>
        </w:tcBorders>
      </w:tcPr>
    </w:tblStylePr>
  </w:style>
  <w:style w:type="character" w:customStyle="1" w:styleId="RightTextboxheadingChar">
    <w:name w:val="Right Text box heading Char"/>
    <w:basedOn w:val="Heading2Char"/>
    <w:link w:val="RightTextboxheading"/>
    <w:rsid w:val="002F4DAE"/>
    <w:rPr>
      <w:rFonts w:asciiTheme="majorHAnsi" w:eastAsiaTheme="majorEastAsia" w:hAnsiTheme="majorHAnsi" w:cstheme="majorBidi"/>
      <w:b/>
      <w:i/>
      <w:color w:val="000000" w:themeColor="text1"/>
      <w:sz w:val="24"/>
      <w:szCs w:val="26"/>
    </w:rPr>
  </w:style>
  <w:style w:type="paragraph" w:customStyle="1" w:styleId="LeftTextbox">
    <w:name w:val="Left Text box"/>
    <w:basedOn w:val="RightTextbox"/>
    <w:link w:val="LeftTextboxChar"/>
    <w:qFormat/>
    <w:rsid w:val="002F4DAE"/>
    <w:pPr>
      <w:ind w:left="567" w:right="227"/>
    </w:pPr>
  </w:style>
  <w:style w:type="paragraph" w:customStyle="1" w:styleId="LeftTextboxheading">
    <w:name w:val="Left Text box heading"/>
    <w:basedOn w:val="RightTextboxheading"/>
    <w:link w:val="LeftTextboxheadingChar"/>
    <w:qFormat/>
    <w:rsid w:val="002F4DAE"/>
    <w:pPr>
      <w:ind w:left="567" w:right="227"/>
    </w:pPr>
    <w:rPr>
      <w:color w:val="auto"/>
    </w:rPr>
  </w:style>
  <w:style w:type="character" w:customStyle="1" w:styleId="LeftTextboxChar">
    <w:name w:val="Left Text box Char"/>
    <w:basedOn w:val="RightTextboxChar"/>
    <w:link w:val="LeftTextbox"/>
    <w:rsid w:val="002F4DAE"/>
    <w:rPr>
      <w:color w:val="000000" w:themeColor="text1"/>
      <w:sz w:val="20"/>
    </w:rPr>
  </w:style>
  <w:style w:type="paragraph" w:customStyle="1" w:styleId="Quotes">
    <w:name w:val="Quotes"/>
    <w:basedOn w:val="Normal"/>
    <w:link w:val="QuotesChar"/>
    <w:qFormat/>
    <w:rsid w:val="00B437C1"/>
    <w:pPr>
      <w:ind w:left="357"/>
    </w:pPr>
    <w:rPr>
      <w:rFonts w:eastAsia="Calibri"/>
      <w:i/>
      <w:szCs w:val="20"/>
    </w:rPr>
  </w:style>
  <w:style w:type="character" w:customStyle="1" w:styleId="LeftTextboxheadingChar">
    <w:name w:val="Left Text box heading Char"/>
    <w:basedOn w:val="RightTextboxheadingChar"/>
    <w:link w:val="LeftTextboxheading"/>
    <w:rsid w:val="002F4DAE"/>
    <w:rPr>
      <w:rFonts w:asciiTheme="majorHAnsi" w:eastAsiaTheme="majorEastAsia" w:hAnsiTheme="majorHAnsi" w:cstheme="majorBidi"/>
      <w:b/>
      <w:i/>
      <w:color w:val="000000" w:themeColor="text1"/>
      <w:sz w:val="24"/>
      <w:szCs w:val="26"/>
    </w:rPr>
  </w:style>
  <w:style w:type="character" w:customStyle="1" w:styleId="QuotesChar">
    <w:name w:val="Quotes Char"/>
    <w:basedOn w:val="DefaultParagraphFont"/>
    <w:link w:val="Quotes"/>
    <w:rsid w:val="00B437C1"/>
    <w:rPr>
      <w:rFonts w:ascii="Franklin Gothic Book" w:eastAsia="Calibri" w:hAnsi="Franklin Gothic Book"/>
      <w:i/>
      <w:sz w:val="20"/>
      <w:szCs w:val="20"/>
    </w:rPr>
  </w:style>
  <w:style w:type="paragraph" w:customStyle="1" w:styleId="CentreTextbox">
    <w:name w:val="Centre Text box"/>
    <w:basedOn w:val="LeftTextbox"/>
    <w:link w:val="CentreTextboxChar"/>
    <w:rsid w:val="005A1EBB"/>
    <w:pPr>
      <w:ind w:left="-1191" w:right="-794"/>
    </w:pPr>
  </w:style>
  <w:style w:type="character" w:customStyle="1" w:styleId="CentreTextboxChar">
    <w:name w:val="Centre Text box Char"/>
    <w:basedOn w:val="LeftTextboxChar"/>
    <w:link w:val="CentreTextbox"/>
    <w:rsid w:val="005A1EBB"/>
    <w:rPr>
      <w:rFonts w:ascii="Franklin Gothic Book" w:hAnsi="Franklin Gothic Book"/>
      <w:color w:val="FFFFFF" w:themeColor="background1"/>
      <w:sz w:val="20"/>
    </w:rPr>
  </w:style>
  <w:style w:type="table" w:styleId="MediumGrid3-Accent4">
    <w:name w:val="Medium Grid 3 Accent 4"/>
    <w:basedOn w:val="TableNormal"/>
    <w:uiPriority w:val="69"/>
    <w:rsid w:val="00067734"/>
    <w:pPr>
      <w:spacing w:after="0" w:line="240" w:lineRule="auto"/>
    </w:pPr>
    <w:rPr>
      <w:rFonts w:ascii="Arial" w:hAnsi="Arial" w:cs="Arial"/>
      <w:color w:val="E36C0A"/>
      <w:kern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B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71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71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71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7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790" w:themeFill="accent4" w:themeFillTint="7F"/>
      </w:tcPr>
    </w:tblStylePr>
  </w:style>
  <w:style w:type="table" w:styleId="TableGridLight">
    <w:name w:val="Grid Table Light"/>
    <w:basedOn w:val="TableNormal"/>
    <w:uiPriority w:val="40"/>
    <w:rsid w:val="00CE3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tagline">
    <w:name w:val="msotagline"/>
    <w:rsid w:val="001F4577"/>
    <w:pPr>
      <w:spacing w:after="0" w:line="240" w:lineRule="auto"/>
    </w:pPr>
    <w:rPr>
      <w:rFonts w:ascii="Arial" w:eastAsia="Times New Roman" w:hAnsi="Arial" w:cs="Arial"/>
      <w:color w:val="000000"/>
      <w:kern w:val="28"/>
      <w:sz w:val="29"/>
      <w:szCs w:val="24"/>
      <w:lang w:eastAsia="en-GB"/>
    </w:rPr>
  </w:style>
  <w:style w:type="paragraph" w:customStyle="1" w:styleId="References">
    <w:name w:val="References"/>
    <w:basedOn w:val="Bulletpoints"/>
    <w:link w:val="ReferencesChar"/>
    <w:qFormat/>
    <w:rsid w:val="007816A3"/>
    <w:pPr>
      <w:numPr>
        <w:numId w:val="3"/>
      </w:numPr>
      <w:spacing w:after="160"/>
      <w:contextualSpacing/>
    </w:pPr>
    <w:rPr>
      <w:color w:val="000000" w:themeColor="text1"/>
    </w:rPr>
  </w:style>
  <w:style w:type="character" w:customStyle="1" w:styleId="ReferencesChar">
    <w:name w:val="References Char"/>
    <w:basedOn w:val="BulletpointsChar"/>
    <w:link w:val="References"/>
    <w:rsid w:val="007816A3"/>
    <w:rPr>
      <w:color w:val="000000" w:themeColor="text1"/>
      <w:sz w:val="20"/>
    </w:rPr>
  </w:style>
  <w:style w:type="table" w:customStyle="1" w:styleId="2column">
    <w:name w:val="2 column"/>
    <w:basedOn w:val="TableNormal"/>
    <w:uiPriority w:val="99"/>
    <w:rsid w:val="008705B6"/>
    <w:pPr>
      <w:spacing w:after="0" w:line="240" w:lineRule="auto"/>
    </w:pPr>
    <w:rPr>
      <w:sz w:val="18"/>
    </w:rPr>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CC5"/>
      <w:vAlign w:val="center"/>
    </w:tcPr>
    <w:tblStylePr w:type="firstCol">
      <w:pPr>
        <w:jc w:val="left"/>
      </w:pPr>
      <w:rPr>
        <w:color w:val="FFFFFF" w:themeColor="background1"/>
      </w:rPr>
      <w:tblPr/>
      <w:tcPr>
        <w:shd w:val="clear" w:color="auto" w:fill="6A8C7D"/>
      </w:tcPr>
    </w:tblStylePr>
    <w:tblStylePr w:type="lastCol">
      <w:tblPr/>
      <w:tcPr>
        <w:tcBorders>
          <w:top w:val="nil"/>
          <w:left w:val="nil"/>
          <w:bottom w:val="nil"/>
          <w:right w:val="nil"/>
          <w:insideH w:val="nil"/>
          <w:insideV w:val="nil"/>
          <w:tl2br w:val="nil"/>
          <w:tr2bl w:val="nil"/>
        </w:tcBorders>
        <w:shd w:val="clear" w:color="auto" w:fill="BCCCC5"/>
      </w:tcPr>
    </w:tblStylePr>
    <w:tblStylePr w:type="band2Vert">
      <w:tblPr/>
      <w:tcPr>
        <w:tcBorders>
          <w:top w:val="nil"/>
          <w:left w:val="nil"/>
          <w:bottom w:val="nil"/>
          <w:right w:val="nil"/>
          <w:insideH w:val="nil"/>
          <w:insideV w:val="nil"/>
          <w:tl2br w:val="nil"/>
          <w:tr2bl w:val="nil"/>
        </w:tcBorders>
        <w:shd w:val="clear" w:color="auto" w:fill="BCCCC5"/>
      </w:tcPr>
    </w:tblStylePr>
  </w:style>
  <w:style w:type="paragraph" w:customStyle="1" w:styleId="Title-Line2">
    <w:name w:val="Title - Line 2"/>
    <w:basedOn w:val="Heading1"/>
    <w:link w:val="Title-Line2Char"/>
    <w:qFormat/>
    <w:rsid w:val="00BE0A19"/>
    <w:pPr>
      <w:spacing w:after="220"/>
    </w:pPr>
    <w:rPr>
      <w:noProof/>
      <w:szCs w:val="220"/>
      <w:lang w:eastAsia="en-GB"/>
    </w:rPr>
  </w:style>
  <w:style w:type="paragraph" w:customStyle="1" w:styleId="Fillerquotes">
    <w:name w:val="Filler quotes"/>
    <w:basedOn w:val="Normal"/>
    <w:link w:val="FillerquotesChar"/>
    <w:qFormat/>
    <w:rsid w:val="00C63C38"/>
    <w:pPr>
      <w:spacing w:before="360" w:after="240"/>
      <w:ind w:left="227" w:right="113"/>
    </w:pPr>
    <w:rPr>
      <w:rFonts w:ascii="Lucida Handwriting" w:hAnsi="Lucida Handwriting"/>
      <w:color w:val="775089" w:themeColor="accent1"/>
      <w:sz w:val="28"/>
    </w:rPr>
  </w:style>
  <w:style w:type="character" w:customStyle="1" w:styleId="Title-Line2Char">
    <w:name w:val="Title - Line 2 Char"/>
    <w:basedOn w:val="Heading1Char"/>
    <w:link w:val="Title-Line2"/>
    <w:rsid w:val="00BE0A19"/>
    <w:rPr>
      <w:rFonts w:ascii="Franklin Gothic Demi Cond" w:eastAsia="MS PGothic" w:hAnsi="Franklin Gothic Demi Cond" w:cs="Arial"/>
      <w:caps/>
      <w:noProof/>
      <w:color w:val="FFFFFF" w:themeColor="background1"/>
      <w:sz w:val="72"/>
      <w:szCs w:val="220"/>
      <w:lang w:eastAsia="en-GB"/>
    </w:rPr>
  </w:style>
  <w:style w:type="character" w:customStyle="1" w:styleId="FillerquotesChar">
    <w:name w:val="Filler quotes Char"/>
    <w:basedOn w:val="DefaultParagraphFont"/>
    <w:link w:val="Fillerquotes"/>
    <w:rsid w:val="00C63C38"/>
    <w:rPr>
      <w:rFonts w:ascii="Lucida Handwriting" w:hAnsi="Lucida Handwriting"/>
      <w:color w:val="775089" w:themeColor="accent1"/>
      <w:sz w:val="28"/>
    </w:rPr>
  </w:style>
  <w:style w:type="paragraph" w:customStyle="1" w:styleId="Casestudyheading">
    <w:name w:val="Case study heading"/>
    <w:basedOn w:val="Normal"/>
    <w:link w:val="CasestudyheadingChar"/>
    <w:qFormat/>
    <w:rsid w:val="00997804"/>
    <w:pPr>
      <w:spacing w:after="120"/>
    </w:pPr>
    <w:rPr>
      <w:b/>
      <w:sz w:val="22"/>
    </w:rPr>
  </w:style>
  <w:style w:type="character" w:customStyle="1" w:styleId="CasestudyheadingChar">
    <w:name w:val="Case study heading Char"/>
    <w:basedOn w:val="DefaultParagraphFont"/>
    <w:link w:val="Casestudyheading"/>
    <w:rsid w:val="00997804"/>
    <w:rPr>
      <w:b/>
    </w:rPr>
  </w:style>
  <w:style w:type="paragraph" w:styleId="EndnoteText">
    <w:name w:val="endnote text"/>
    <w:basedOn w:val="Normal"/>
    <w:link w:val="EndnoteTextChar"/>
    <w:uiPriority w:val="99"/>
    <w:semiHidden/>
    <w:unhideWhenUsed/>
    <w:rsid w:val="001E7CF7"/>
    <w:pPr>
      <w:spacing w:after="0"/>
    </w:pPr>
    <w:rPr>
      <w:szCs w:val="20"/>
    </w:rPr>
  </w:style>
  <w:style w:type="character" w:customStyle="1" w:styleId="EndnoteTextChar">
    <w:name w:val="Endnote Text Char"/>
    <w:basedOn w:val="DefaultParagraphFont"/>
    <w:link w:val="EndnoteText"/>
    <w:uiPriority w:val="99"/>
    <w:semiHidden/>
    <w:rsid w:val="001E7CF7"/>
    <w:rPr>
      <w:sz w:val="20"/>
      <w:szCs w:val="20"/>
    </w:rPr>
  </w:style>
  <w:style w:type="character" w:styleId="EndnoteReference">
    <w:name w:val="endnote reference"/>
    <w:basedOn w:val="DefaultParagraphFont"/>
    <w:uiPriority w:val="99"/>
    <w:semiHidden/>
    <w:unhideWhenUsed/>
    <w:rsid w:val="001E7CF7"/>
    <w:rPr>
      <w:vertAlign w:val="superscript"/>
    </w:rPr>
  </w:style>
  <w:style w:type="paragraph" w:styleId="FootnoteText">
    <w:name w:val="footnote text"/>
    <w:basedOn w:val="Normal"/>
    <w:link w:val="FootnoteTextChar"/>
    <w:uiPriority w:val="99"/>
    <w:unhideWhenUsed/>
    <w:rsid w:val="00473257"/>
    <w:pPr>
      <w:spacing w:after="0"/>
    </w:pPr>
    <w:rPr>
      <w:szCs w:val="20"/>
    </w:rPr>
  </w:style>
  <w:style w:type="character" w:customStyle="1" w:styleId="FootnoteTextChar">
    <w:name w:val="Footnote Text Char"/>
    <w:basedOn w:val="DefaultParagraphFont"/>
    <w:link w:val="FootnoteText"/>
    <w:uiPriority w:val="99"/>
    <w:rsid w:val="00473257"/>
    <w:rPr>
      <w:sz w:val="20"/>
      <w:szCs w:val="20"/>
    </w:rPr>
  </w:style>
  <w:style w:type="character" w:styleId="FootnoteReference">
    <w:name w:val="footnote reference"/>
    <w:basedOn w:val="DefaultParagraphFont"/>
    <w:uiPriority w:val="99"/>
    <w:semiHidden/>
    <w:unhideWhenUsed/>
    <w:rsid w:val="00473257"/>
    <w:rPr>
      <w:vertAlign w:val="superscript"/>
    </w:rPr>
  </w:style>
  <w:style w:type="table" w:customStyle="1" w:styleId="TableGrid1">
    <w:name w:val="Table Grid1"/>
    <w:basedOn w:val="TableNormal"/>
    <w:next w:val="TableGrid"/>
    <w:uiPriority w:val="39"/>
    <w:rsid w:val="005C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5C5F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C5F4C"/>
    <w:pPr>
      <w:spacing w:after="0" w:line="240" w:lineRule="auto"/>
    </w:pPr>
    <w:tblPr>
      <w:tblStyleRowBandSize w:val="1"/>
      <w:tblStyleColBandSize w:val="1"/>
      <w:tblBorders>
        <w:top w:val="single" w:sz="4" w:space="0" w:color="AF8FBE" w:themeColor="accent1" w:themeTint="99"/>
        <w:left w:val="single" w:sz="4" w:space="0" w:color="AF8FBE" w:themeColor="accent1" w:themeTint="99"/>
        <w:bottom w:val="single" w:sz="4" w:space="0" w:color="AF8FBE" w:themeColor="accent1" w:themeTint="99"/>
        <w:right w:val="single" w:sz="4" w:space="0" w:color="AF8FBE" w:themeColor="accent1" w:themeTint="99"/>
        <w:insideH w:val="single" w:sz="4" w:space="0" w:color="AF8FBE" w:themeColor="accent1" w:themeTint="99"/>
        <w:insideV w:val="single" w:sz="4" w:space="0" w:color="AF8FBE" w:themeColor="accent1" w:themeTint="99"/>
      </w:tblBorders>
    </w:tblPr>
    <w:tblStylePr w:type="firstRow">
      <w:rPr>
        <w:b/>
        <w:bCs/>
        <w:color w:val="FFFFFF" w:themeColor="background1"/>
      </w:rPr>
      <w:tblPr/>
      <w:tcPr>
        <w:tcBorders>
          <w:top w:val="single" w:sz="4" w:space="0" w:color="775089" w:themeColor="accent1"/>
          <w:left w:val="single" w:sz="4" w:space="0" w:color="775089" w:themeColor="accent1"/>
          <w:bottom w:val="single" w:sz="4" w:space="0" w:color="775089" w:themeColor="accent1"/>
          <w:right w:val="single" w:sz="4" w:space="0" w:color="775089" w:themeColor="accent1"/>
          <w:insideH w:val="nil"/>
          <w:insideV w:val="nil"/>
        </w:tcBorders>
        <w:shd w:val="clear" w:color="auto" w:fill="775089" w:themeFill="accent1"/>
      </w:tcPr>
    </w:tblStylePr>
    <w:tblStylePr w:type="lastRow">
      <w:rPr>
        <w:b/>
        <w:bCs/>
      </w:rPr>
      <w:tblPr/>
      <w:tcPr>
        <w:tcBorders>
          <w:top w:val="double" w:sz="4" w:space="0" w:color="775089" w:themeColor="accent1"/>
        </w:tcBorders>
      </w:tcPr>
    </w:tblStylePr>
    <w:tblStylePr w:type="firstCol">
      <w:rPr>
        <w:b/>
        <w:bCs/>
      </w:rPr>
    </w:tblStylePr>
    <w:tblStylePr w:type="lastCol">
      <w:rPr>
        <w:b/>
        <w:bCs/>
      </w:rPr>
    </w:tblStylePr>
    <w:tblStylePr w:type="band1Vert">
      <w:tblPr/>
      <w:tcPr>
        <w:shd w:val="clear" w:color="auto" w:fill="E4D9E9" w:themeFill="accent1" w:themeFillTint="33"/>
      </w:tcPr>
    </w:tblStylePr>
    <w:tblStylePr w:type="band1Horz">
      <w:tblPr/>
      <w:tcPr>
        <w:shd w:val="clear" w:color="auto" w:fill="E4D9E9" w:themeFill="accent1" w:themeFillTint="33"/>
      </w:tcPr>
    </w:tblStylePr>
  </w:style>
  <w:style w:type="table" w:customStyle="1" w:styleId="TableGrid2">
    <w:name w:val="Table Grid2"/>
    <w:basedOn w:val="TableNormal"/>
    <w:next w:val="TableGrid"/>
    <w:uiPriority w:val="39"/>
    <w:rsid w:val="00CD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AB9"/>
    <w:pPr>
      <w:spacing w:after="0" w:line="240" w:lineRule="auto"/>
    </w:pPr>
    <w:rPr>
      <w:sz w:val="20"/>
    </w:rPr>
  </w:style>
  <w:style w:type="character" w:styleId="CommentReference">
    <w:name w:val="annotation reference"/>
    <w:basedOn w:val="DefaultParagraphFont"/>
    <w:uiPriority w:val="99"/>
    <w:semiHidden/>
    <w:unhideWhenUsed/>
    <w:rsid w:val="00131AB9"/>
    <w:rPr>
      <w:sz w:val="16"/>
      <w:szCs w:val="16"/>
    </w:rPr>
  </w:style>
  <w:style w:type="paragraph" w:styleId="CommentText">
    <w:name w:val="annotation text"/>
    <w:basedOn w:val="Normal"/>
    <w:link w:val="CommentTextChar"/>
    <w:uiPriority w:val="99"/>
    <w:semiHidden/>
    <w:unhideWhenUsed/>
    <w:rsid w:val="00131AB9"/>
    <w:rPr>
      <w:szCs w:val="20"/>
    </w:rPr>
  </w:style>
  <w:style w:type="character" w:customStyle="1" w:styleId="CommentTextChar">
    <w:name w:val="Comment Text Char"/>
    <w:basedOn w:val="DefaultParagraphFont"/>
    <w:link w:val="CommentText"/>
    <w:uiPriority w:val="99"/>
    <w:semiHidden/>
    <w:rsid w:val="00131AB9"/>
    <w:rPr>
      <w:sz w:val="20"/>
      <w:szCs w:val="20"/>
    </w:rPr>
  </w:style>
  <w:style w:type="paragraph" w:styleId="CommentSubject">
    <w:name w:val="annotation subject"/>
    <w:basedOn w:val="CommentText"/>
    <w:next w:val="CommentText"/>
    <w:link w:val="CommentSubjectChar"/>
    <w:uiPriority w:val="99"/>
    <w:semiHidden/>
    <w:unhideWhenUsed/>
    <w:rsid w:val="00131AB9"/>
    <w:rPr>
      <w:b/>
      <w:bCs/>
    </w:rPr>
  </w:style>
  <w:style w:type="character" w:customStyle="1" w:styleId="CommentSubjectChar">
    <w:name w:val="Comment Subject Char"/>
    <w:basedOn w:val="CommentTextChar"/>
    <w:link w:val="CommentSubject"/>
    <w:uiPriority w:val="99"/>
    <w:semiHidden/>
    <w:rsid w:val="00131AB9"/>
    <w:rPr>
      <w:b/>
      <w:bCs/>
      <w:sz w:val="20"/>
      <w:szCs w:val="20"/>
    </w:rPr>
  </w:style>
  <w:style w:type="paragraph" w:styleId="BalloonText">
    <w:name w:val="Balloon Text"/>
    <w:basedOn w:val="Normal"/>
    <w:link w:val="BalloonTextChar"/>
    <w:uiPriority w:val="99"/>
    <w:semiHidden/>
    <w:unhideWhenUsed/>
    <w:rsid w:val="00DD6D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D9B"/>
    <w:rPr>
      <w:rFonts w:ascii="Segoe UI" w:hAnsi="Segoe UI" w:cs="Segoe UI"/>
      <w:sz w:val="18"/>
      <w:szCs w:val="18"/>
    </w:rPr>
  </w:style>
  <w:style w:type="character" w:customStyle="1" w:styleId="Intet">
    <w:name w:val="Intet"/>
    <w:rsid w:val="00973D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7496D59E94C9282F5BD572D372B32"/>
        <w:category>
          <w:name w:val="Generelt"/>
          <w:gallery w:val="placeholder"/>
        </w:category>
        <w:types>
          <w:type w:val="bbPlcHdr"/>
        </w:types>
        <w:behaviors>
          <w:behavior w:val="content"/>
        </w:behaviors>
        <w:guid w:val="{82179E19-377F-4DAF-80DC-6299AF1D3C59}"/>
      </w:docPartPr>
      <w:docPartBody>
        <w:p w:rsidR="00EC2128" w:rsidRDefault="00D84464" w:rsidP="00D84464">
          <w:pPr>
            <w:pStyle w:val="8607496D59E94C9282F5BD572D372B32"/>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64"/>
    <w:rsid w:val="000772F0"/>
    <w:rsid w:val="00343AA5"/>
    <w:rsid w:val="0067172F"/>
    <w:rsid w:val="008678DE"/>
    <w:rsid w:val="009424BE"/>
    <w:rsid w:val="009C2F19"/>
    <w:rsid w:val="00C90966"/>
    <w:rsid w:val="00D84464"/>
    <w:rsid w:val="00E537C8"/>
    <w:rsid w:val="00EC212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07496D59E94C9282F5BD572D372B32">
    <w:name w:val="8607496D59E94C9282F5BD572D372B32"/>
    <w:rsid w:val="00D84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84C"/>
      </a:dk2>
      <a:lt2>
        <a:srgbClr val="CEA700"/>
      </a:lt2>
      <a:accent1>
        <a:srgbClr val="775089"/>
      </a:accent1>
      <a:accent2>
        <a:srgbClr val="9D4A64"/>
      </a:accent2>
      <a:accent3>
        <a:srgbClr val="CD5249"/>
      </a:accent3>
      <a:accent4>
        <a:srgbClr val="E37122"/>
      </a:accent4>
      <a:accent5>
        <a:srgbClr val="5C323B"/>
      </a:accent5>
      <a:accent6>
        <a:srgbClr val="6A8C7D"/>
      </a:accent6>
      <a:hlink>
        <a:srgbClr val="7750FF"/>
      </a:hlink>
      <a:folHlink>
        <a:srgbClr val="4733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BCCCC5"/>
        </a:solidFill>
        <a:ln w="6350">
          <a:solidFill>
            <a:srgbClr val="BCCCC5"/>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5C4D-B4A8-4A7B-AD7D-715943B3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4111</Words>
  <Characters>23433</Characters>
  <Application>Microsoft Office Word</Application>
  <DocSecurity>0</DocSecurity>
  <Lines>195</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Allen</dc:creator>
  <cp:keywords/>
  <dc:description/>
  <cp:lastModifiedBy>Kasper Thede Anderskov</cp:lastModifiedBy>
  <cp:revision>7</cp:revision>
  <cp:lastPrinted>2021-05-19T08:27:00Z</cp:lastPrinted>
  <dcterms:created xsi:type="dcterms:W3CDTF">2025-05-07T08:22:00Z</dcterms:created>
  <dcterms:modified xsi:type="dcterms:W3CDTF">2025-06-29T14:36:00Z</dcterms:modified>
</cp:coreProperties>
</file>