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96BE" w14:textId="3CF6CB2D" w:rsidR="007F5FEB" w:rsidRPr="00224489" w:rsidRDefault="007F5FEB" w:rsidP="007F5FEB">
      <w:pPr>
        <w:jc w:val="right"/>
        <w:rPr>
          <w:rFonts w:ascii="Noto Sans" w:hAnsi="Noto Sans" w:cs="Noto Sans"/>
          <w:b/>
          <w:sz w:val="20"/>
          <w:szCs w:val="20"/>
          <w:lang w:val="en-US"/>
        </w:rPr>
      </w:pPr>
      <w:r>
        <w:tab/>
      </w:r>
      <w:r w:rsidRPr="00224489">
        <w:rPr>
          <w:rFonts w:ascii="Noto Sans" w:hAnsi="Noto Sans" w:cs="Noto Sans"/>
          <w:b/>
          <w:sz w:val="20"/>
          <w:szCs w:val="20"/>
        </w:rPr>
        <w:t>Annex C –</w:t>
      </w:r>
      <w:r w:rsidR="00F624BB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r w:rsidR="00861C93" w:rsidRPr="00224489">
        <w:rPr>
          <w:rFonts w:ascii="Noto Sans" w:hAnsi="Noto Sans" w:cs="Noto Sans"/>
          <w:b/>
          <w:bCs/>
          <w:sz w:val="20"/>
          <w:szCs w:val="20"/>
          <w:lang w:val="en-US"/>
        </w:rPr>
        <w:t xml:space="preserve">Transfers to </w:t>
      </w:r>
      <w:r w:rsidR="00F624BB">
        <w:rPr>
          <w:rFonts w:ascii="Noto Sans" w:hAnsi="Noto Sans" w:cs="Noto Sans"/>
          <w:b/>
          <w:bCs/>
          <w:sz w:val="20"/>
          <w:szCs w:val="20"/>
          <w:lang w:val="en-US"/>
        </w:rPr>
        <w:t>Local Partners</w:t>
      </w:r>
    </w:p>
    <w:p w14:paraId="07FABD4F" w14:textId="77777777" w:rsidR="007F5FEB" w:rsidRPr="007B68A6" w:rsidRDefault="007F5FEB" w:rsidP="00885FDF">
      <w:pPr>
        <w:rPr>
          <w:rFonts w:ascii="Diplomacy Office Bold" w:eastAsia="Calibri" w:hAnsi="Diplomacy Office Bold" w:cs="Calibri"/>
          <w:color w:val="000000"/>
          <w:sz w:val="32"/>
          <w:szCs w:val="32"/>
          <w:u w:color="000000"/>
          <w:bdr w:val="nil"/>
          <w:lang w:eastAsia="da-DK"/>
        </w:rPr>
      </w:pPr>
    </w:p>
    <w:p w14:paraId="393D41B6" w14:textId="4470AECD" w:rsidR="000C748E" w:rsidRPr="00021DEE" w:rsidRDefault="00021DEE" w:rsidP="007F5FEB">
      <w:pPr>
        <w:tabs>
          <w:tab w:val="left" w:pos="1991"/>
        </w:tabs>
        <w:jc w:val="center"/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</w:pPr>
      <w:r w:rsidRPr="00021DEE">
        <w:rPr>
          <w:rFonts w:ascii="Diplomacy Office Bold" w:eastAsia="Calibri" w:hAnsi="Diplomacy Office Bold" w:cs="Calibri"/>
          <w:b/>
          <w:color w:val="000000"/>
          <w:sz w:val="32"/>
          <w:szCs w:val="32"/>
          <w:u w:color="000000"/>
          <w:bdr w:val="nil"/>
          <w:lang w:eastAsia="da-DK"/>
        </w:rPr>
        <w:t xml:space="preserve">TRANSFERS TO LOCAL PARTNERS </w:t>
      </w:r>
    </w:p>
    <w:p w14:paraId="169932FF" w14:textId="66F41F7D" w:rsidR="00EA5E5A" w:rsidRPr="00885FDF" w:rsidRDefault="00A81092" w:rsidP="000C748E">
      <w:pPr>
        <w:tabs>
          <w:tab w:val="left" w:pos="1991"/>
        </w:tabs>
        <w:spacing w:line="240" w:lineRule="auto"/>
        <w:jc w:val="both"/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</w:pPr>
      <w:r w:rsidRPr="00885FDF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Annex C must be filled out by all organisations (</w:t>
      </w:r>
      <w:r w:rsidR="00C50D70" w:rsidRPr="00885FDF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including all members of</w:t>
      </w:r>
      <w:r w:rsidR="00861C93" w:rsidRPr="00885FDF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a </w:t>
      </w:r>
      <w:r w:rsidRPr="00885FDF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>consortium).</w:t>
      </w:r>
      <w:r w:rsidR="00D135DF">
        <w:rPr>
          <w:rFonts w:ascii="Noto Sans" w:eastAsia="Calibri" w:hAnsi="Noto Sans" w:cs="Noto Sans"/>
          <w:color w:val="000000"/>
          <w:sz w:val="24"/>
          <w:szCs w:val="24"/>
          <w:u w:color="000000"/>
          <w:bdr w:val="nil"/>
          <w:lang w:eastAsia="da-DK"/>
        </w:rPr>
        <w:t xml:space="preserve"> If part of an international alliance or federation, the below figures must cover the Danish organisation only. </w:t>
      </w:r>
      <w:r w:rsidR="00923BCA" w:rsidRPr="00885FDF">
        <w:rPr>
          <w:rFonts w:ascii="Noto Sans" w:hAnsi="Noto Sans" w:cs="Noto Sans"/>
          <w:bCs/>
          <w:sz w:val="24"/>
          <w:szCs w:val="24"/>
        </w:rPr>
        <w:t>Level of transfer to local partners i</w:t>
      </w:r>
      <w:r w:rsidR="00D06749" w:rsidRPr="00885FDF">
        <w:rPr>
          <w:rFonts w:ascii="Noto Sans" w:hAnsi="Noto Sans" w:cs="Noto Sans"/>
          <w:bCs/>
          <w:sz w:val="24"/>
          <w:szCs w:val="24"/>
        </w:rPr>
        <w:t xml:space="preserve">s included in the assessment of the </w:t>
      </w:r>
      <w:r w:rsidR="00B04505" w:rsidRPr="00885FDF">
        <w:rPr>
          <w:rFonts w:ascii="Noto Sans" w:hAnsi="Noto Sans" w:cs="Noto Sans"/>
          <w:bCs/>
          <w:sz w:val="24"/>
          <w:szCs w:val="24"/>
        </w:rPr>
        <w:t>prequalification</w:t>
      </w:r>
      <w:r w:rsidR="00D06749" w:rsidRPr="00885FDF">
        <w:rPr>
          <w:rFonts w:ascii="Noto Sans" w:hAnsi="Noto Sans" w:cs="Noto Sans"/>
          <w:bCs/>
          <w:sz w:val="24"/>
          <w:szCs w:val="24"/>
        </w:rPr>
        <w:t xml:space="preserve">. </w:t>
      </w:r>
    </w:p>
    <w:p w14:paraId="3322CE51" w14:textId="15D5DE78" w:rsidR="007F5FEB" w:rsidRPr="00885FDF" w:rsidRDefault="00A81092" w:rsidP="000C748E">
      <w:pPr>
        <w:tabs>
          <w:tab w:val="left" w:pos="1991"/>
        </w:tabs>
        <w:spacing w:line="240" w:lineRule="auto"/>
        <w:jc w:val="both"/>
        <w:rPr>
          <w:rFonts w:ascii="Noto Sans" w:eastAsia="Calibri" w:hAnsi="Noto Sans" w:cs="Noto Sans"/>
          <w:b/>
          <w:color w:val="000000"/>
          <w:sz w:val="24"/>
          <w:szCs w:val="24"/>
          <w:u w:color="000000"/>
          <w:bdr w:val="nil"/>
          <w:lang w:eastAsia="da-DK"/>
        </w:rPr>
      </w:pPr>
      <w:r w:rsidRPr="00885FDF">
        <w:rPr>
          <w:rFonts w:ascii="Noto Sans" w:eastAsia="Calibri" w:hAnsi="Noto Sans" w:cs="Noto Sans"/>
          <w:b/>
          <w:color w:val="000000"/>
          <w:sz w:val="24"/>
          <w:szCs w:val="24"/>
          <w:u w:color="000000"/>
          <w:bdr w:val="nil"/>
          <w:lang w:eastAsia="da-DK"/>
        </w:rPr>
        <w:t xml:space="preserve">Name of organisation: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1614"/>
        <w:gridCol w:w="1731"/>
        <w:gridCol w:w="1634"/>
      </w:tblGrid>
      <w:tr w:rsidR="0056188C" w:rsidRPr="00885FDF" w14:paraId="5A37FC19" w14:textId="0627DED3" w:rsidTr="008C5597">
        <w:tc>
          <w:tcPr>
            <w:tcW w:w="4649" w:type="dxa"/>
            <w:shd w:val="clear" w:color="auto" w:fill="548DD4" w:themeFill="text2" w:themeFillTint="99"/>
          </w:tcPr>
          <w:p w14:paraId="5951BE22" w14:textId="77777777" w:rsidR="0056188C" w:rsidRPr="00885FDF" w:rsidRDefault="0056188C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885FDF">
              <w:rPr>
                <w:rFonts w:ascii="Noto Sans" w:hAnsi="Noto Sans" w:cs="Noto Sans"/>
                <w:b/>
                <w:sz w:val="24"/>
                <w:szCs w:val="24"/>
              </w:rPr>
              <w:t>Level of transfer to local partners:</w:t>
            </w:r>
          </w:p>
        </w:tc>
        <w:tc>
          <w:tcPr>
            <w:tcW w:w="1614" w:type="dxa"/>
            <w:shd w:val="clear" w:color="auto" w:fill="548DD4" w:themeFill="text2" w:themeFillTint="99"/>
          </w:tcPr>
          <w:p w14:paraId="79CF5A27" w14:textId="2E2DD3E1" w:rsidR="0056188C" w:rsidRPr="00885FDF" w:rsidRDefault="0056188C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885FDF">
              <w:rPr>
                <w:rFonts w:ascii="Noto Sans" w:hAnsi="Noto Sans" w:cs="Noto Sans"/>
                <w:sz w:val="24"/>
                <w:szCs w:val="24"/>
              </w:rPr>
              <w:t>2022</w:t>
            </w:r>
          </w:p>
        </w:tc>
        <w:tc>
          <w:tcPr>
            <w:tcW w:w="1731" w:type="dxa"/>
            <w:shd w:val="clear" w:color="auto" w:fill="548DD4" w:themeFill="text2" w:themeFillTint="99"/>
          </w:tcPr>
          <w:p w14:paraId="2FF80DD9" w14:textId="2F2638CE" w:rsidR="0056188C" w:rsidRPr="00885FDF" w:rsidRDefault="0056188C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885FDF">
              <w:rPr>
                <w:rFonts w:ascii="Noto Sans" w:hAnsi="Noto Sans" w:cs="Noto Sans"/>
                <w:sz w:val="24"/>
                <w:szCs w:val="24"/>
              </w:rPr>
              <w:t>2023</w:t>
            </w:r>
          </w:p>
        </w:tc>
        <w:tc>
          <w:tcPr>
            <w:tcW w:w="1634" w:type="dxa"/>
            <w:shd w:val="clear" w:color="auto" w:fill="548DD4" w:themeFill="text2" w:themeFillTint="99"/>
          </w:tcPr>
          <w:p w14:paraId="429BEA32" w14:textId="685DF70C" w:rsidR="0056188C" w:rsidRPr="00885FDF" w:rsidRDefault="0056188C" w:rsidP="000C748E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885FDF">
              <w:rPr>
                <w:rFonts w:ascii="Noto Sans" w:hAnsi="Noto Sans" w:cs="Noto Sans"/>
                <w:sz w:val="24"/>
                <w:szCs w:val="24"/>
              </w:rPr>
              <w:t>2024</w:t>
            </w:r>
          </w:p>
        </w:tc>
      </w:tr>
      <w:tr w:rsidR="00CB31D0" w:rsidRPr="00885FDF" w14:paraId="40D4C757" w14:textId="72744AB5" w:rsidTr="008C5597">
        <w:tc>
          <w:tcPr>
            <w:tcW w:w="4649" w:type="dxa"/>
          </w:tcPr>
          <w:p w14:paraId="30CF22C0" w14:textId="79A557BF" w:rsidR="00CB31D0" w:rsidRPr="00885FDF" w:rsidRDefault="00CD3AA4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 w:rsidRPr="00CD3AA4">
              <w:rPr>
                <w:rFonts w:ascii="Noto Sans" w:hAnsi="Noto Sans" w:cs="Noto Sans"/>
                <w:sz w:val="24"/>
                <w:szCs w:val="24"/>
              </w:rPr>
              <w:t>Budgetary volume of development and/or humanitarian action</w:t>
            </w:r>
            <w:r>
              <w:rPr>
                <w:rFonts w:ascii="Noto Sans" w:hAnsi="Noto Sans" w:cs="Noto Sans"/>
                <w:sz w:val="24"/>
                <w:szCs w:val="24"/>
              </w:rPr>
              <w:t xml:space="preserve"> (DKK)</w:t>
            </w:r>
            <w:r w:rsidRPr="00CD3AA4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14:paraId="1940D2EC" w14:textId="3BFFA223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</w:tc>
        <w:tc>
          <w:tcPr>
            <w:tcW w:w="1731" w:type="dxa"/>
          </w:tcPr>
          <w:p w14:paraId="1574E729" w14:textId="2DCABFC4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</w:tc>
        <w:tc>
          <w:tcPr>
            <w:tcW w:w="1634" w:type="dxa"/>
          </w:tcPr>
          <w:p w14:paraId="7262E867" w14:textId="4AA853CC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</w:tc>
      </w:tr>
      <w:tr w:rsidR="00E87702" w:rsidRPr="00885FDF" w14:paraId="13EEBA30" w14:textId="77777777" w:rsidTr="008C5597">
        <w:tc>
          <w:tcPr>
            <w:tcW w:w="4649" w:type="dxa"/>
          </w:tcPr>
          <w:p w14:paraId="5E2D770A" w14:textId="69A06B39" w:rsidR="00E87702" w:rsidRPr="00885FDF" w:rsidRDefault="00E87702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Full amount transferred to local partners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  <w:r w:rsidR="00CD3AA4">
              <w:rPr>
                <w:rFonts w:ascii="Noto Sans" w:hAnsi="Noto Sans" w:cs="Noto Sans"/>
                <w:sz w:val="24"/>
                <w:szCs w:val="24"/>
              </w:rPr>
              <w:t>(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amount in DKK and percentage of </w:t>
            </w:r>
            <w:r w:rsidR="00CD3AA4">
              <w:rPr>
                <w:rFonts w:ascii="Noto Sans" w:hAnsi="Noto Sans" w:cs="Noto Sans"/>
                <w:sz w:val="24"/>
                <w:szCs w:val="24"/>
              </w:rPr>
              <w:t>budgetary volume)</w:t>
            </w:r>
          </w:p>
        </w:tc>
        <w:tc>
          <w:tcPr>
            <w:tcW w:w="1614" w:type="dxa"/>
          </w:tcPr>
          <w:p w14:paraId="3C1BC44E" w14:textId="59EE7C1D" w:rsidR="00E87702" w:rsidRDefault="00673BAD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2D1C50A8" w14:textId="77777777" w:rsidR="00673BAD" w:rsidRDefault="00673BAD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0CA2F224" w14:textId="77777777" w:rsidR="00673BAD" w:rsidRDefault="00673BAD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 xml:space="preserve">Percentage: </w:t>
            </w:r>
          </w:p>
          <w:p w14:paraId="113C9A78" w14:textId="09AB532F" w:rsidR="00603856" w:rsidRDefault="00603856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7D8DD0C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15A4DF04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5CFEAD48" w14:textId="710C6522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  <w:tc>
          <w:tcPr>
            <w:tcW w:w="1634" w:type="dxa"/>
          </w:tcPr>
          <w:p w14:paraId="44579A13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6FBEA20B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314A8C22" w14:textId="7F5B6359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</w:tr>
      <w:tr w:rsidR="00E87702" w:rsidRPr="00885FDF" w14:paraId="23A41574" w14:textId="77777777" w:rsidTr="008C5597">
        <w:tc>
          <w:tcPr>
            <w:tcW w:w="4649" w:type="dxa"/>
          </w:tcPr>
          <w:p w14:paraId="3D73367A" w14:textId="05F26680" w:rsidR="00E87702" w:rsidRPr="00E87702" w:rsidRDefault="00CD3AA4" w:rsidP="00E87702">
            <w:pPr>
              <w:pStyle w:val="ListParagraph"/>
              <w:numPr>
                <w:ilvl w:val="0"/>
                <w:numId w:val="2"/>
              </w:num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 xml:space="preserve">Hereof </w:t>
            </w:r>
            <w:r w:rsidR="00E87702">
              <w:rPr>
                <w:rFonts w:ascii="Noto Sans" w:hAnsi="Noto Sans" w:cs="Noto Sans"/>
                <w:sz w:val="24"/>
                <w:szCs w:val="24"/>
              </w:rPr>
              <w:t>direct</w:t>
            </w:r>
            <w:r>
              <w:rPr>
                <w:rFonts w:ascii="Noto Sans" w:hAnsi="Noto Sans" w:cs="Noto Sans"/>
                <w:sz w:val="24"/>
                <w:szCs w:val="24"/>
              </w:rPr>
              <w:t>ly</w:t>
            </w:r>
            <w:r w:rsidR="00E87702">
              <w:rPr>
                <w:rFonts w:ascii="Noto Sans" w:hAnsi="Noto Sans" w:cs="Noto Sans"/>
                <w:sz w:val="24"/>
                <w:szCs w:val="24"/>
              </w:rPr>
              <w:t xml:space="preserve"> transfer</w:t>
            </w:r>
            <w:r>
              <w:rPr>
                <w:rFonts w:ascii="Noto Sans" w:hAnsi="Noto Sans" w:cs="Noto Sans"/>
                <w:sz w:val="24"/>
                <w:szCs w:val="24"/>
              </w:rPr>
              <w:t>red</w:t>
            </w:r>
            <w:r w:rsidR="00E87702">
              <w:rPr>
                <w:rFonts w:ascii="Noto Sans" w:hAnsi="Noto Sans" w:cs="Noto Sans"/>
                <w:sz w:val="24"/>
                <w:szCs w:val="24"/>
              </w:rPr>
              <w:t xml:space="preserve"> to local partners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  <w:r>
              <w:rPr>
                <w:rFonts w:ascii="Noto Sans" w:hAnsi="Noto Sans" w:cs="Noto Sans"/>
                <w:sz w:val="24"/>
                <w:szCs w:val="24"/>
              </w:rPr>
              <w:t>(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amount in DKK and percentage of </w:t>
            </w:r>
            <w:r w:rsidR="002654CB">
              <w:rPr>
                <w:rFonts w:ascii="Noto Sans" w:hAnsi="Noto Sans" w:cs="Noto Sans"/>
                <w:sz w:val="24"/>
                <w:szCs w:val="24"/>
              </w:rPr>
              <w:t>budgetary volume)</w:t>
            </w:r>
          </w:p>
        </w:tc>
        <w:tc>
          <w:tcPr>
            <w:tcW w:w="1614" w:type="dxa"/>
          </w:tcPr>
          <w:p w14:paraId="6C11B8BD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7EE9295C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07FDCC60" w14:textId="51E4B49E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  <w:tc>
          <w:tcPr>
            <w:tcW w:w="1731" w:type="dxa"/>
          </w:tcPr>
          <w:p w14:paraId="0390AA8A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5FEB13DF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2E96417D" w14:textId="58664480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  <w:tc>
          <w:tcPr>
            <w:tcW w:w="1634" w:type="dxa"/>
          </w:tcPr>
          <w:p w14:paraId="6FFF4823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2F7F5BD4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555B1E3E" w14:textId="43F2AA42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</w:tr>
      <w:tr w:rsidR="00E87702" w:rsidRPr="00885FDF" w14:paraId="29D0A9D1" w14:textId="77777777" w:rsidTr="008C5597">
        <w:tc>
          <w:tcPr>
            <w:tcW w:w="4649" w:type="dxa"/>
          </w:tcPr>
          <w:p w14:paraId="329969BB" w14:textId="3F53028F" w:rsidR="00E87702" w:rsidRPr="00FF1A25" w:rsidRDefault="00FF1A25" w:rsidP="00E87702">
            <w:pPr>
              <w:pStyle w:val="ListParagraph"/>
              <w:numPr>
                <w:ilvl w:val="0"/>
                <w:numId w:val="2"/>
              </w:num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Hereof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  <w:r w:rsidR="00E87702">
              <w:rPr>
                <w:rFonts w:ascii="Noto Sans" w:hAnsi="Noto Sans" w:cs="Noto Sans"/>
                <w:sz w:val="24"/>
                <w:szCs w:val="24"/>
              </w:rPr>
              <w:t xml:space="preserve">transfers through </w:t>
            </w:r>
            <w:r>
              <w:rPr>
                <w:rFonts w:ascii="Noto Sans" w:hAnsi="Noto Sans" w:cs="Noto Sans"/>
                <w:sz w:val="24"/>
                <w:szCs w:val="24"/>
              </w:rPr>
              <w:t>federation/</w:t>
            </w:r>
            <w:r w:rsidR="00E87702">
              <w:rPr>
                <w:rFonts w:ascii="Noto Sans" w:hAnsi="Noto Sans" w:cs="Noto Sans"/>
                <w:sz w:val="24"/>
                <w:szCs w:val="24"/>
              </w:rPr>
              <w:t xml:space="preserve"> alliance</w:t>
            </w:r>
            <w:r w:rsidR="00F76C52">
              <w:rPr>
                <w:rFonts w:ascii="Noto Sans" w:hAnsi="Noto Sans" w:cs="Noto Sans"/>
                <w:sz w:val="24"/>
                <w:szCs w:val="24"/>
              </w:rPr>
              <w:t xml:space="preserve"> to local partners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  <w:r w:rsidR="002654CB">
              <w:rPr>
                <w:rFonts w:ascii="Noto Sans" w:hAnsi="Noto Sans" w:cs="Noto Sans"/>
                <w:sz w:val="24"/>
                <w:szCs w:val="24"/>
              </w:rPr>
              <w:t>(</w:t>
            </w:r>
            <w:r w:rsidR="00673BAD">
              <w:rPr>
                <w:rFonts w:ascii="Noto Sans" w:hAnsi="Noto Sans" w:cs="Noto Sans"/>
                <w:sz w:val="24"/>
                <w:szCs w:val="24"/>
              </w:rPr>
              <w:t xml:space="preserve">amount in DKK and percentage of </w:t>
            </w:r>
            <w:r w:rsidR="002654CB">
              <w:rPr>
                <w:rFonts w:ascii="Noto Sans" w:hAnsi="Noto Sans" w:cs="Noto Sans"/>
                <w:sz w:val="24"/>
                <w:szCs w:val="24"/>
              </w:rPr>
              <w:t>budgetary volume)</w:t>
            </w:r>
          </w:p>
          <w:p w14:paraId="5B447210" w14:textId="77777777" w:rsidR="00E87702" w:rsidRDefault="00E87702" w:rsidP="00E87702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572A8754" w14:textId="29AB1995" w:rsidR="00E87702" w:rsidRPr="00E87702" w:rsidRDefault="00E87702" w:rsidP="00E87702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*</w:t>
            </w:r>
            <w:r w:rsidR="00673BAD" w:rsidRPr="001663E8">
              <w:rPr>
                <w:rFonts w:ascii="Noto Sans" w:hAnsi="Noto Sans" w:cs="Noto Sans"/>
                <w:sz w:val="18"/>
                <w:szCs w:val="18"/>
              </w:rPr>
              <w:t>The amount for direct transfers to local partners and the amount for transfers</w:t>
            </w:r>
            <w:r w:rsidR="007F4368" w:rsidRPr="001663E8">
              <w:rPr>
                <w:rFonts w:ascii="Noto Sans" w:hAnsi="Noto Sans" w:cs="Noto Sans"/>
                <w:sz w:val="18"/>
                <w:szCs w:val="18"/>
              </w:rPr>
              <w:t xml:space="preserve"> to local partners</w:t>
            </w:r>
            <w:r w:rsidR="00673BAD" w:rsidRPr="001663E8">
              <w:rPr>
                <w:rFonts w:ascii="Noto Sans" w:hAnsi="Noto Sans" w:cs="Noto Sans"/>
                <w:sz w:val="18"/>
                <w:szCs w:val="18"/>
              </w:rPr>
              <w:t xml:space="preserve"> through </w:t>
            </w:r>
            <w:r w:rsidR="00FF1A25" w:rsidRPr="001663E8">
              <w:rPr>
                <w:rFonts w:ascii="Noto Sans" w:hAnsi="Noto Sans" w:cs="Noto Sans"/>
                <w:sz w:val="18"/>
                <w:szCs w:val="18"/>
              </w:rPr>
              <w:t>federation/</w:t>
            </w:r>
            <w:r w:rsidR="00673BAD" w:rsidRPr="001663E8">
              <w:rPr>
                <w:rFonts w:ascii="Noto Sans" w:hAnsi="Noto Sans" w:cs="Noto Sans"/>
                <w:sz w:val="18"/>
                <w:szCs w:val="18"/>
              </w:rPr>
              <w:t xml:space="preserve">alliance should accumulate to the full amount transferred to local partners. </w:t>
            </w:r>
          </w:p>
        </w:tc>
        <w:tc>
          <w:tcPr>
            <w:tcW w:w="1614" w:type="dxa"/>
          </w:tcPr>
          <w:p w14:paraId="4DF1F786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56B1BF9F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15969210" w14:textId="7C111ED5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  <w:tc>
          <w:tcPr>
            <w:tcW w:w="1731" w:type="dxa"/>
          </w:tcPr>
          <w:p w14:paraId="665ED151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5E910311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4C6E1C8B" w14:textId="7C2F7991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  <w:tc>
          <w:tcPr>
            <w:tcW w:w="1634" w:type="dxa"/>
          </w:tcPr>
          <w:p w14:paraId="4F7A8270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Amount:</w:t>
            </w:r>
          </w:p>
          <w:p w14:paraId="29EAE213" w14:textId="77777777" w:rsidR="00673BAD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3749EB32" w14:textId="32EFAF25" w:rsidR="00E87702" w:rsidRDefault="00673BAD" w:rsidP="00673BAD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Percentage:</w:t>
            </w:r>
          </w:p>
        </w:tc>
      </w:tr>
      <w:tr w:rsidR="00CB31D0" w:rsidRPr="00885FDF" w14:paraId="487242E5" w14:textId="7C7B8BE4" w:rsidTr="005F0A56">
        <w:tc>
          <w:tcPr>
            <w:tcW w:w="9628" w:type="dxa"/>
            <w:gridSpan w:val="4"/>
          </w:tcPr>
          <w:p w14:paraId="2460ED3F" w14:textId="2747D509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i/>
                <w:sz w:val="24"/>
                <w:szCs w:val="24"/>
              </w:rPr>
            </w:pPr>
            <w:r w:rsidRPr="00885FDF">
              <w:rPr>
                <w:rFonts w:ascii="Noto Sans" w:hAnsi="Noto Sans" w:cs="Noto Sans"/>
                <w:sz w:val="24"/>
                <w:szCs w:val="24"/>
              </w:rPr>
              <w:t xml:space="preserve">Notes: </w:t>
            </w:r>
            <w:r w:rsidRPr="00885FDF">
              <w:rPr>
                <w:rFonts w:ascii="Noto Sans" w:hAnsi="Noto Sans" w:cs="Noto Sans"/>
                <w:i/>
                <w:sz w:val="24"/>
                <w:szCs w:val="24"/>
              </w:rPr>
              <w:t>(specific issues relating to organisation’s transfers to local partners)</w:t>
            </w:r>
          </w:p>
          <w:p w14:paraId="2D93CA54" w14:textId="77777777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  <w:p w14:paraId="2AB2A430" w14:textId="77777777" w:rsidR="00CB31D0" w:rsidRPr="00885FDF" w:rsidRDefault="00CB31D0" w:rsidP="00CB31D0">
            <w:pPr>
              <w:tabs>
                <w:tab w:val="left" w:pos="1991"/>
              </w:tabs>
              <w:jc w:val="both"/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14:paraId="5A9EED60" w14:textId="77777777" w:rsidR="00FF1A25" w:rsidRDefault="00FF1A25" w:rsidP="00927177">
      <w:pPr>
        <w:tabs>
          <w:tab w:val="left" w:pos="1991"/>
        </w:tabs>
        <w:spacing w:after="0"/>
        <w:jc w:val="both"/>
        <w:rPr>
          <w:rFonts w:ascii="Noto Sans" w:hAnsi="Noto Sans" w:cs="Noto Sans"/>
          <w:sz w:val="18"/>
          <w:szCs w:val="18"/>
        </w:rPr>
      </w:pPr>
    </w:p>
    <w:p w14:paraId="42B703C3" w14:textId="240122C0" w:rsidR="009B0225" w:rsidRPr="00D135DF" w:rsidRDefault="009B0225" w:rsidP="00927177">
      <w:pPr>
        <w:tabs>
          <w:tab w:val="left" w:pos="1991"/>
        </w:tabs>
        <w:spacing w:after="0"/>
        <w:jc w:val="both"/>
        <w:rPr>
          <w:rFonts w:ascii="Noto Sans" w:hAnsi="Noto Sans" w:cs="Noto Sans"/>
          <w:sz w:val="18"/>
          <w:szCs w:val="18"/>
        </w:rPr>
      </w:pPr>
      <w:r w:rsidRPr="00D135DF">
        <w:rPr>
          <w:rFonts w:ascii="Noto Sans" w:hAnsi="Noto Sans" w:cs="Noto Sans"/>
          <w:sz w:val="18"/>
          <w:szCs w:val="18"/>
        </w:rPr>
        <w:t>Note: Definition of local partners:</w:t>
      </w:r>
    </w:p>
    <w:p w14:paraId="02182F3A" w14:textId="3F1EC390" w:rsidR="009B0225" w:rsidRPr="00D135DF" w:rsidRDefault="009B0225" w:rsidP="00927177">
      <w:pPr>
        <w:pStyle w:val="ListParagraph"/>
        <w:numPr>
          <w:ilvl w:val="0"/>
          <w:numId w:val="1"/>
        </w:numPr>
        <w:tabs>
          <w:tab w:val="left" w:pos="1991"/>
        </w:tabs>
        <w:spacing w:after="0"/>
        <w:jc w:val="both"/>
        <w:rPr>
          <w:rFonts w:ascii="Noto Sans" w:hAnsi="Noto Sans" w:cs="Noto Sans"/>
          <w:sz w:val="18"/>
          <w:szCs w:val="18"/>
        </w:rPr>
      </w:pPr>
      <w:r w:rsidRPr="00D135DF">
        <w:rPr>
          <w:rFonts w:ascii="Noto Sans" w:hAnsi="Noto Sans" w:cs="Noto Sans"/>
          <w:sz w:val="18"/>
          <w:szCs w:val="18"/>
        </w:rPr>
        <w:t xml:space="preserve">Local partners are defined </w:t>
      </w:r>
      <w:r w:rsidR="00815F36" w:rsidRPr="00D135DF">
        <w:rPr>
          <w:rFonts w:ascii="Noto Sans" w:hAnsi="Noto Sans" w:cs="Noto Sans"/>
          <w:sz w:val="18"/>
          <w:szCs w:val="18"/>
        </w:rPr>
        <w:t xml:space="preserve">as </w:t>
      </w:r>
      <w:r w:rsidRPr="00D135DF">
        <w:rPr>
          <w:rFonts w:ascii="Noto Sans" w:hAnsi="Noto Sans" w:cs="Noto Sans"/>
          <w:sz w:val="18"/>
          <w:szCs w:val="18"/>
        </w:rPr>
        <w:t>national non-governmental organisations (NGOs) and civil society organisations (CSOs), community</w:t>
      </w:r>
      <w:r w:rsidR="00C67BB3" w:rsidRPr="00D135DF">
        <w:rPr>
          <w:rFonts w:ascii="Noto Sans" w:hAnsi="Noto Sans" w:cs="Noto Sans"/>
          <w:sz w:val="18"/>
          <w:szCs w:val="18"/>
        </w:rPr>
        <w:t>-</w:t>
      </w:r>
      <w:r w:rsidRPr="00D135DF">
        <w:rPr>
          <w:rFonts w:ascii="Noto Sans" w:hAnsi="Noto Sans" w:cs="Noto Sans"/>
          <w:sz w:val="18"/>
          <w:szCs w:val="18"/>
        </w:rPr>
        <w:t>based organisations (CBOs), trade unions</w:t>
      </w:r>
      <w:r w:rsidR="00815F36" w:rsidRPr="00D135DF">
        <w:rPr>
          <w:rFonts w:ascii="Noto Sans" w:hAnsi="Noto Sans" w:cs="Noto Sans"/>
          <w:sz w:val="18"/>
          <w:szCs w:val="18"/>
        </w:rPr>
        <w:t xml:space="preserve"> and business member organisations</w:t>
      </w:r>
      <w:r w:rsidRPr="00D135DF">
        <w:rPr>
          <w:rFonts w:ascii="Noto Sans" w:hAnsi="Noto Sans" w:cs="Noto Sans"/>
          <w:sz w:val="18"/>
          <w:szCs w:val="18"/>
        </w:rPr>
        <w:t xml:space="preserve">, </w:t>
      </w:r>
      <w:r w:rsidR="00815F36" w:rsidRPr="00D135DF">
        <w:rPr>
          <w:rFonts w:ascii="Noto Sans" w:hAnsi="Noto Sans" w:cs="Noto Sans"/>
          <w:sz w:val="18"/>
          <w:szCs w:val="18"/>
        </w:rPr>
        <w:t>local private sector and social movements, and other informal groupings, state governments and their specialist services agencies, concerned local government bodies as well as state auxiliaries</w:t>
      </w:r>
      <w:r w:rsidRPr="00D135DF">
        <w:rPr>
          <w:rFonts w:ascii="Noto Sans" w:hAnsi="Noto Sans" w:cs="Noto Sans"/>
          <w:sz w:val="18"/>
          <w:szCs w:val="18"/>
        </w:rPr>
        <w:t xml:space="preserve">. </w:t>
      </w:r>
    </w:p>
    <w:p w14:paraId="5B7215B1" w14:textId="39A7DC4E" w:rsidR="009B0225" w:rsidRPr="00927177" w:rsidRDefault="009B0225" w:rsidP="00C67BB3">
      <w:pPr>
        <w:pStyle w:val="ListParagraph"/>
        <w:numPr>
          <w:ilvl w:val="0"/>
          <w:numId w:val="1"/>
        </w:numPr>
        <w:tabs>
          <w:tab w:val="left" w:pos="1991"/>
        </w:tabs>
        <w:jc w:val="both"/>
        <w:rPr>
          <w:rFonts w:ascii="Noto Sans" w:hAnsi="Noto Sans" w:cs="Noto Sans"/>
        </w:rPr>
      </w:pPr>
      <w:r w:rsidRPr="00D135DF">
        <w:rPr>
          <w:rFonts w:ascii="Noto Sans" w:hAnsi="Noto Sans" w:cs="Noto Sans"/>
          <w:sz w:val="18"/>
          <w:szCs w:val="18"/>
        </w:rPr>
        <w:t xml:space="preserve">Where partnerships are made up of organisations in Denmark (HQ level) and in </w:t>
      </w:r>
      <w:r w:rsidR="0056188C" w:rsidRPr="00D135DF">
        <w:rPr>
          <w:rFonts w:ascii="Noto Sans" w:hAnsi="Noto Sans" w:cs="Noto Sans"/>
          <w:sz w:val="18"/>
          <w:szCs w:val="18"/>
        </w:rPr>
        <w:t>partner countries eligible for ODA funding</w:t>
      </w:r>
      <w:r w:rsidRPr="00D135DF">
        <w:rPr>
          <w:rFonts w:ascii="Noto Sans" w:hAnsi="Noto Sans" w:cs="Noto Sans"/>
          <w:sz w:val="18"/>
          <w:szCs w:val="18"/>
        </w:rPr>
        <w:t xml:space="preserve"> that are part of the same international alliance or similar, the member </w:t>
      </w:r>
      <w:r w:rsidR="0056188C" w:rsidRPr="00D135DF">
        <w:rPr>
          <w:rFonts w:ascii="Noto Sans" w:hAnsi="Noto Sans" w:cs="Noto Sans"/>
          <w:sz w:val="18"/>
          <w:szCs w:val="18"/>
        </w:rPr>
        <w:t xml:space="preserve">in partner country </w:t>
      </w:r>
      <w:r w:rsidRPr="00D135DF">
        <w:rPr>
          <w:rFonts w:ascii="Noto Sans" w:hAnsi="Noto Sans" w:cs="Noto Sans"/>
          <w:sz w:val="18"/>
          <w:szCs w:val="18"/>
        </w:rPr>
        <w:t>of such an alliance must be able to demonstrate that it is rooted in local civil society to be defined as a local partner. This includes local leadership (board and management), local fundraising and an overall autonomy. Where this is not the case, the member</w:t>
      </w:r>
      <w:r w:rsidR="0056188C" w:rsidRPr="00D135DF">
        <w:rPr>
          <w:rFonts w:ascii="Noto Sans" w:hAnsi="Noto Sans" w:cs="Noto Sans"/>
          <w:sz w:val="18"/>
          <w:szCs w:val="18"/>
        </w:rPr>
        <w:t xml:space="preserve"> in partner country</w:t>
      </w:r>
      <w:r w:rsidRPr="00D135DF">
        <w:rPr>
          <w:rFonts w:ascii="Noto Sans" w:hAnsi="Noto Sans" w:cs="Noto Sans"/>
          <w:sz w:val="18"/>
          <w:szCs w:val="18"/>
        </w:rPr>
        <w:t xml:space="preserve"> of the alliance is not recognized in this definition as a local partner, but may still contribute meaningfully to the partnership.</w:t>
      </w:r>
    </w:p>
    <w:sectPr w:rsidR="009B0225" w:rsidRPr="00927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828F" w14:textId="77777777" w:rsidR="00DC1C9D" w:rsidRDefault="00DC1C9D" w:rsidP="007F5FEB">
      <w:pPr>
        <w:spacing w:after="0" w:line="240" w:lineRule="auto"/>
      </w:pPr>
      <w:r>
        <w:separator/>
      </w:r>
    </w:p>
  </w:endnote>
  <w:endnote w:type="continuationSeparator" w:id="0">
    <w:p w14:paraId="440F5683" w14:textId="77777777" w:rsidR="00DC1C9D" w:rsidRDefault="00DC1C9D" w:rsidP="007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FE6F" w14:textId="77777777" w:rsidR="0077337C" w:rsidRDefault="00773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8212" w14:textId="77777777" w:rsidR="0077337C" w:rsidRDefault="00773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B53F" w14:textId="77777777" w:rsidR="0077337C" w:rsidRDefault="00773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BA90" w14:textId="77777777" w:rsidR="00DC1C9D" w:rsidRDefault="00DC1C9D" w:rsidP="007F5FEB">
      <w:pPr>
        <w:spacing w:after="0" w:line="240" w:lineRule="auto"/>
      </w:pPr>
      <w:r>
        <w:separator/>
      </w:r>
    </w:p>
  </w:footnote>
  <w:footnote w:type="continuationSeparator" w:id="0">
    <w:p w14:paraId="301A9A87" w14:textId="77777777" w:rsidR="00DC1C9D" w:rsidRDefault="00DC1C9D" w:rsidP="007F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19D6" w14:textId="77777777" w:rsidR="0077337C" w:rsidRDefault="0077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E9DF" w14:textId="62788E2F" w:rsidR="00885FDF" w:rsidRDefault="00D22A5F" w:rsidP="00885FDF">
    <w:pPr>
      <w:pStyle w:val="Header"/>
    </w:pPr>
    <w:r>
      <w:rPr>
        <w:noProof/>
      </w:rPr>
      <w:drawing>
        <wp:inline distT="0" distB="0" distL="0" distR="0" wp14:anchorId="0C29C139" wp14:editId="5B197ABA">
          <wp:extent cx="1860550" cy="485149"/>
          <wp:effectExtent l="0" t="0" r="6350" b="0"/>
          <wp:docPr id="12" name="Billed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8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5FDF">
      <w:t xml:space="preserve">                                 </w:t>
    </w:r>
  </w:p>
  <w:p w14:paraId="1CE00F8B" w14:textId="77777777" w:rsidR="00885FDF" w:rsidRDefault="00885FDF" w:rsidP="00885FDF">
    <w:pPr>
      <w:pStyle w:val="Header"/>
    </w:pPr>
  </w:p>
  <w:p w14:paraId="394EE9C9" w14:textId="77777777" w:rsidR="00885FDF" w:rsidRDefault="00885FDF" w:rsidP="00885FDF">
    <w:pPr>
      <w:pStyle w:val="Header"/>
    </w:pPr>
  </w:p>
  <w:p w14:paraId="08BE4D6C" w14:textId="77777777" w:rsidR="007F5FEB" w:rsidRPr="00885FDF" w:rsidRDefault="007F5FEB" w:rsidP="00885F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D09E" w14:textId="77777777" w:rsidR="0077337C" w:rsidRDefault="00773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3759"/>
    <w:multiLevelType w:val="hybridMultilevel"/>
    <w:tmpl w:val="B3E60DFC"/>
    <w:lvl w:ilvl="0" w:tplc="98DA5BFE">
      <w:start w:val="5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39D6"/>
    <w:multiLevelType w:val="hybridMultilevel"/>
    <w:tmpl w:val="173C9B6E"/>
    <w:lvl w:ilvl="0" w:tplc="828CAF5E"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7C"/>
    <w:rsid w:val="00000856"/>
    <w:rsid w:val="00021DEE"/>
    <w:rsid w:val="00044B5B"/>
    <w:rsid w:val="000C748E"/>
    <w:rsid w:val="00130A99"/>
    <w:rsid w:val="0015267F"/>
    <w:rsid w:val="001663E8"/>
    <w:rsid w:val="001B3798"/>
    <w:rsid w:val="001F63A3"/>
    <w:rsid w:val="00211080"/>
    <w:rsid w:val="00224489"/>
    <w:rsid w:val="002654CB"/>
    <w:rsid w:val="00290C27"/>
    <w:rsid w:val="00322CA9"/>
    <w:rsid w:val="003A194B"/>
    <w:rsid w:val="003D5610"/>
    <w:rsid w:val="004E0C96"/>
    <w:rsid w:val="00507ECA"/>
    <w:rsid w:val="00527122"/>
    <w:rsid w:val="0054154B"/>
    <w:rsid w:val="0056188C"/>
    <w:rsid w:val="00565406"/>
    <w:rsid w:val="00591DF4"/>
    <w:rsid w:val="005E0801"/>
    <w:rsid w:val="00603856"/>
    <w:rsid w:val="00673BAD"/>
    <w:rsid w:val="007043F7"/>
    <w:rsid w:val="00725932"/>
    <w:rsid w:val="00756230"/>
    <w:rsid w:val="007648CA"/>
    <w:rsid w:val="0077337C"/>
    <w:rsid w:val="00790EB3"/>
    <w:rsid w:val="007B68A6"/>
    <w:rsid w:val="007D2987"/>
    <w:rsid w:val="007D7F55"/>
    <w:rsid w:val="007F4368"/>
    <w:rsid w:val="007F5FEB"/>
    <w:rsid w:val="00815F36"/>
    <w:rsid w:val="00861C93"/>
    <w:rsid w:val="00883E5D"/>
    <w:rsid w:val="00885FDF"/>
    <w:rsid w:val="008A2230"/>
    <w:rsid w:val="008C07DA"/>
    <w:rsid w:val="008C5597"/>
    <w:rsid w:val="00923BCA"/>
    <w:rsid w:val="00927177"/>
    <w:rsid w:val="00962D60"/>
    <w:rsid w:val="0098501E"/>
    <w:rsid w:val="009B0225"/>
    <w:rsid w:val="009B5596"/>
    <w:rsid w:val="009E3D20"/>
    <w:rsid w:val="00A81092"/>
    <w:rsid w:val="00B04505"/>
    <w:rsid w:val="00B36B1B"/>
    <w:rsid w:val="00B40F40"/>
    <w:rsid w:val="00B5589E"/>
    <w:rsid w:val="00B90C9A"/>
    <w:rsid w:val="00BA3729"/>
    <w:rsid w:val="00C346B3"/>
    <w:rsid w:val="00C50D70"/>
    <w:rsid w:val="00C67BB3"/>
    <w:rsid w:val="00C876EE"/>
    <w:rsid w:val="00CA0EAD"/>
    <w:rsid w:val="00CB31D0"/>
    <w:rsid w:val="00CD3AA4"/>
    <w:rsid w:val="00CF5CC9"/>
    <w:rsid w:val="00D06749"/>
    <w:rsid w:val="00D135DF"/>
    <w:rsid w:val="00D17BB4"/>
    <w:rsid w:val="00D22A5F"/>
    <w:rsid w:val="00D22C13"/>
    <w:rsid w:val="00D3403B"/>
    <w:rsid w:val="00DC1C9D"/>
    <w:rsid w:val="00DF28D1"/>
    <w:rsid w:val="00E41505"/>
    <w:rsid w:val="00E847E1"/>
    <w:rsid w:val="00E87702"/>
    <w:rsid w:val="00EA5E5A"/>
    <w:rsid w:val="00ED407C"/>
    <w:rsid w:val="00EE2046"/>
    <w:rsid w:val="00F624BB"/>
    <w:rsid w:val="00F63113"/>
    <w:rsid w:val="00F7070E"/>
    <w:rsid w:val="00F76C52"/>
    <w:rsid w:val="00FE4C0F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A0D47"/>
  <w15:chartTrackingRefBased/>
  <w15:docId w15:val="{716915FB-11DA-4711-925F-58348730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EB"/>
    <w:rPr>
      <w:rFonts w:asciiTheme="minorHAnsi" w:hAnsi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EB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7F5FEB"/>
  </w:style>
  <w:style w:type="paragraph" w:styleId="Footer">
    <w:name w:val="footer"/>
    <w:basedOn w:val="Normal"/>
    <w:link w:val="FooterChar"/>
    <w:uiPriority w:val="99"/>
    <w:unhideWhenUsed/>
    <w:rsid w:val="007F5FEB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7F5FEB"/>
  </w:style>
  <w:style w:type="table" w:styleId="TableGrid">
    <w:name w:val="Table Grid"/>
    <w:basedOn w:val="TableNormal"/>
    <w:uiPriority w:val="59"/>
    <w:rsid w:val="007F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D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225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25"/>
    <w:rPr>
      <w:rFonts w:asciiTheme="minorHAnsi" w:hAnsiTheme="minorHAnsi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9B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Primdal Sutton</dc:creator>
  <cp:keywords/>
  <dc:description/>
  <cp:lastModifiedBy>Sara Boi Pedersen</cp:lastModifiedBy>
  <cp:revision>2</cp:revision>
  <cp:lastPrinted>2025-09-25T07:37:00Z</cp:lastPrinted>
  <dcterms:created xsi:type="dcterms:W3CDTF">2025-10-03T10:20:00Z</dcterms:created>
  <dcterms:modified xsi:type="dcterms:W3CDTF">2025-10-03T10:20:00Z</dcterms:modified>
</cp:coreProperties>
</file>