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0466A" w14:textId="77777777" w:rsidR="00346D42" w:rsidRPr="00B07BAD" w:rsidRDefault="00346D42" w:rsidP="00346D42">
      <w:pPr>
        <w:spacing w:line="240" w:lineRule="auto"/>
        <w:jc w:val="both"/>
        <w:rPr>
          <w:rStyle w:val="Intet"/>
          <w:rFonts w:ascii="Noto Sans" w:eastAsiaTheme="minorHAnsi" w:hAnsi="Noto Sans" w:cs="Noto Sans"/>
          <w:b/>
          <w:sz w:val="24"/>
          <w:szCs w:val="24"/>
          <w:lang w:val="en-GB"/>
        </w:rPr>
      </w:pPr>
    </w:p>
    <w:p w14:paraId="596A1391" w14:textId="77777777" w:rsidR="00346D42" w:rsidRPr="0095766B" w:rsidRDefault="00346D42" w:rsidP="00346D42">
      <w:pPr>
        <w:spacing w:line="240" w:lineRule="auto"/>
        <w:jc w:val="both"/>
        <w:rPr>
          <w:rStyle w:val="Intet"/>
          <w:rFonts w:ascii="Noto Sans" w:eastAsiaTheme="minorHAnsi" w:hAnsi="Noto Sans" w:cs="Noto Sans"/>
          <w:b/>
          <w:sz w:val="32"/>
          <w:szCs w:val="32"/>
          <w:lang w:val="en-GB"/>
        </w:rPr>
      </w:pPr>
      <w:r w:rsidRPr="0095766B">
        <w:rPr>
          <w:rStyle w:val="Intet"/>
          <w:rFonts w:ascii="Noto Sans" w:eastAsiaTheme="minorHAnsi" w:hAnsi="Noto Sans" w:cs="Noto Sans"/>
          <w:b/>
          <w:sz w:val="32"/>
          <w:szCs w:val="32"/>
          <w:lang w:val="en-GB"/>
        </w:rPr>
        <w:t>Annex 11</w:t>
      </w:r>
    </w:p>
    <w:p w14:paraId="557D9151" w14:textId="77777777" w:rsidR="00346D42" w:rsidRPr="00354516" w:rsidRDefault="00346D42" w:rsidP="00346D42">
      <w:pPr>
        <w:spacing w:line="240" w:lineRule="auto"/>
        <w:jc w:val="both"/>
        <w:rPr>
          <w:rStyle w:val="Intet"/>
          <w:rFonts w:ascii="Noto Sans" w:eastAsiaTheme="minorHAnsi" w:hAnsi="Noto Sans" w:cs="Noto Sans"/>
          <w:b/>
          <w:sz w:val="32"/>
          <w:szCs w:val="32"/>
          <w:lang w:val="en-GB"/>
        </w:rPr>
      </w:pPr>
      <w:r w:rsidRPr="00354516">
        <w:rPr>
          <w:rStyle w:val="Intet"/>
          <w:rFonts w:ascii="Noto Sans" w:eastAsiaTheme="minorHAnsi" w:hAnsi="Noto Sans" w:cs="Noto Sans"/>
          <w:b/>
          <w:sz w:val="32"/>
          <w:szCs w:val="32"/>
          <w:lang w:val="en-GB"/>
        </w:rPr>
        <w:t>Value for Money (</w:t>
      </w:r>
      <w:proofErr w:type="spellStart"/>
      <w:r w:rsidRPr="00354516">
        <w:rPr>
          <w:rStyle w:val="Intet"/>
          <w:rFonts w:ascii="Noto Sans" w:eastAsiaTheme="minorHAnsi" w:hAnsi="Noto Sans" w:cs="Noto Sans"/>
          <w:b/>
          <w:sz w:val="32"/>
          <w:szCs w:val="32"/>
          <w:lang w:val="en-GB"/>
        </w:rPr>
        <w:t>VfM</w:t>
      </w:r>
      <w:proofErr w:type="spellEnd"/>
      <w:r w:rsidRPr="00354516">
        <w:rPr>
          <w:rStyle w:val="Intet"/>
          <w:rFonts w:ascii="Noto Sans" w:eastAsiaTheme="minorHAnsi" w:hAnsi="Noto Sans" w:cs="Noto Sans"/>
          <w:b/>
          <w:sz w:val="32"/>
          <w:szCs w:val="32"/>
          <w:lang w:val="en-GB"/>
        </w:rPr>
        <w:t>) Guidance</w:t>
      </w:r>
      <w:r w:rsidRPr="00354516">
        <w:rPr>
          <w:rFonts w:ascii="Noto Sans" w:hAnsi="Noto Sans" w:cs="Noto Sans"/>
          <w:sz w:val="32"/>
          <w:szCs w:val="32"/>
          <w:lang w:val="en-GB"/>
        </w:rPr>
        <w:t xml:space="preserve"> </w:t>
      </w:r>
      <w:r w:rsidRPr="00354516">
        <w:rPr>
          <w:rStyle w:val="Intet"/>
          <w:rFonts w:ascii="Noto Sans" w:eastAsiaTheme="minorHAnsi" w:hAnsi="Noto Sans" w:cs="Noto Sans"/>
          <w:b/>
          <w:sz w:val="32"/>
          <w:szCs w:val="32"/>
          <w:lang w:val="en-GB"/>
        </w:rPr>
        <w:t xml:space="preserve">Note </w:t>
      </w:r>
    </w:p>
    <w:p w14:paraId="4D3CC2FE" w14:textId="4F24C0D1" w:rsidR="00346D42" w:rsidRDefault="007736D4" w:rsidP="00346D42">
      <w:pPr>
        <w:jc w:val="right"/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June</w:t>
      </w:r>
      <w:r w:rsidR="00346D42" w:rsidRPr="00B07BAD">
        <w:rPr>
          <w:rFonts w:ascii="Noto Sans" w:hAnsi="Noto Sans" w:cs="Noto Sans"/>
          <w:sz w:val="24"/>
          <w:szCs w:val="24"/>
          <w:lang w:val="en-GB"/>
        </w:rPr>
        <w:t xml:space="preserve"> 2025</w:t>
      </w:r>
    </w:p>
    <w:p w14:paraId="2F1159B3" w14:textId="77777777" w:rsidR="00346D42" w:rsidRPr="00B07BAD" w:rsidRDefault="00346D42" w:rsidP="00346D42">
      <w:pPr>
        <w:jc w:val="right"/>
        <w:rPr>
          <w:rFonts w:ascii="Noto Sans" w:hAnsi="Noto Sans" w:cs="Noto Sans"/>
          <w:sz w:val="24"/>
          <w:szCs w:val="24"/>
          <w:lang w:val="en-GB"/>
        </w:rPr>
      </w:pPr>
    </w:p>
    <w:p w14:paraId="47AAF02F" w14:textId="77777777" w:rsidR="00346D42" w:rsidRPr="00354516" w:rsidRDefault="00346D42" w:rsidP="00346D42">
      <w:pPr>
        <w:pStyle w:val="Heading1"/>
        <w:rPr>
          <w:rFonts w:ascii="Noto Sans" w:hAnsi="Noto Sans" w:cs="Noto Sans"/>
          <w:sz w:val="32"/>
          <w:szCs w:val="24"/>
          <w:lang w:val="en-GB"/>
        </w:rPr>
      </w:pPr>
      <w:r w:rsidRPr="00354516">
        <w:rPr>
          <w:rFonts w:ascii="Noto Sans" w:hAnsi="Noto Sans" w:cs="Noto Sans"/>
          <w:sz w:val="32"/>
          <w:szCs w:val="24"/>
          <w:lang w:val="en-GB"/>
        </w:rPr>
        <w:t xml:space="preserve">1. Purpose of this </w:t>
      </w:r>
      <w:r>
        <w:rPr>
          <w:rFonts w:ascii="Noto Sans" w:hAnsi="Noto Sans" w:cs="Noto Sans"/>
          <w:sz w:val="32"/>
          <w:szCs w:val="24"/>
          <w:lang w:val="en-GB"/>
        </w:rPr>
        <w:t>g</w:t>
      </w:r>
      <w:r w:rsidRPr="00354516">
        <w:rPr>
          <w:rFonts w:ascii="Noto Sans" w:hAnsi="Noto Sans" w:cs="Noto Sans"/>
          <w:sz w:val="32"/>
          <w:szCs w:val="24"/>
          <w:lang w:val="en-GB"/>
        </w:rPr>
        <w:t xml:space="preserve">uidance </w:t>
      </w:r>
      <w:r>
        <w:rPr>
          <w:rFonts w:ascii="Noto Sans" w:hAnsi="Noto Sans" w:cs="Noto Sans"/>
          <w:sz w:val="32"/>
          <w:szCs w:val="24"/>
          <w:lang w:val="en-GB"/>
        </w:rPr>
        <w:t>n</w:t>
      </w:r>
      <w:r w:rsidRPr="00354516">
        <w:rPr>
          <w:rFonts w:ascii="Noto Sans" w:hAnsi="Noto Sans" w:cs="Noto Sans"/>
          <w:sz w:val="32"/>
          <w:szCs w:val="24"/>
          <w:lang w:val="en-GB"/>
        </w:rPr>
        <w:t>ote</w:t>
      </w:r>
    </w:p>
    <w:p w14:paraId="03CD11D8" w14:textId="6351AE45" w:rsidR="00346D42" w:rsidRPr="00B07BAD" w:rsidRDefault="00346D42" w:rsidP="00346D42">
      <w:p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 xml:space="preserve">This guidance-note by the Danish Ministry of Foreign Affairs (MFA) aims to support the strategic partners </w:t>
      </w:r>
      <w:r w:rsidR="00C31C46">
        <w:rPr>
          <w:rFonts w:ascii="Noto Sans" w:hAnsi="Noto Sans" w:cs="Noto Sans"/>
          <w:sz w:val="24"/>
          <w:szCs w:val="24"/>
          <w:lang w:val="en-GB"/>
        </w:rPr>
        <w:t xml:space="preserve">(organisations) </w:t>
      </w:r>
      <w:r w:rsidRPr="00B07BAD">
        <w:rPr>
          <w:rFonts w:ascii="Noto Sans" w:hAnsi="Noto Sans" w:cs="Noto Sans"/>
          <w:sz w:val="24"/>
          <w:szCs w:val="24"/>
          <w:lang w:val="en-GB"/>
        </w:rPr>
        <w:t xml:space="preserve">in developing or refining their organization-specific </w:t>
      </w:r>
      <w:proofErr w:type="spellStart"/>
      <w:r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B07BAD">
        <w:rPr>
          <w:rFonts w:ascii="Noto Sans" w:hAnsi="Noto Sans" w:cs="Noto Sans"/>
          <w:sz w:val="24"/>
          <w:szCs w:val="24"/>
          <w:lang w:val="en-GB"/>
        </w:rPr>
        <w:t>strategies (or equivalent documents) to ensure, document and strengthen Value for Money (</w:t>
      </w:r>
      <w:proofErr w:type="spellStart"/>
      <w:r w:rsidRPr="00B07BAD"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 w:rsidRPr="00B07BAD">
        <w:rPr>
          <w:rFonts w:ascii="Noto Sans" w:hAnsi="Noto Sans" w:cs="Noto Sans"/>
          <w:sz w:val="24"/>
          <w:szCs w:val="24"/>
          <w:lang w:val="en-GB"/>
        </w:rPr>
        <w:t>) across both administration and implementation at the HQ as well field level</w:t>
      </w:r>
      <w:r>
        <w:rPr>
          <w:rFonts w:ascii="Noto Sans" w:hAnsi="Noto Sans" w:cs="Noto Sans"/>
          <w:sz w:val="24"/>
          <w:szCs w:val="24"/>
          <w:lang w:val="en-GB"/>
        </w:rPr>
        <w:t>, both</w:t>
      </w:r>
      <w:r w:rsidRPr="00B07BAD">
        <w:rPr>
          <w:rFonts w:ascii="Noto Sans" w:hAnsi="Noto Sans" w:cs="Noto Sans"/>
          <w:sz w:val="24"/>
          <w:szCs w:val="24"/>
          <w:lang w:val="en-GB"/>
        </w:rPr>
        <w:t xml:space="preserve"> internally and in their partnerships with local partners.</w:t>
      </w:r>
    </w:p>
    <w:p w14:paraId="6D324BFB" w14:textId="77777777" w:rsidR="00346D42" w:rsidRPr="00B07BAD" w:rsidRDefault="00346D42" w:rsidP="00346D42">
      <w:p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>It provides:</w:t>
      </w:r>
      <w:r w:rsidRPr="00B07BAD">
        <w:rPr>
          <w:rFonts w:ascii="Noto Sans" w:hAnsi="Noto Sans" w:cs="Noto Sans"/>
          <w:sz w:val="24"/>
          <w:szCs w:val="24"/>
          <w:lang w:val="en-GB"/>
        </w:rPr>
        <w:tab/>
      </w:r>
    </w:p>
    <w:p w14:paraId="3D99C515" w14:textId="77777777" w:rsidR="00346D42" w:rsidRPr="00B07BAD" w:rsidRDefault="00346D42" w:rsidP="00346D42">
      <w:pPr>
        <w:pStyle w:val="ListParagraph"/>
        <w:numPr>
          <w:ilvl w:val="0"/>
          <w:numId w:val="3"/>
        </w:num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>Principles and good practices to consider,</w:t>
      </w:r>
    </w:p>
    <w:p w14:paraId="4F2A9BDB" w14:textId="452E3FB9" w:rsidR="00346D42" w:rsidRPr="00B07BAD" w:rsidRDefault="00346D42" w:rsidP="00346D42">
      <w:pPr>
        <w:pStyle w:val="ListParagraph"/>
        <w:numPr>
          <w:ilvl w:val="0"/>
          <w:numId w:val="3"/>
        </w:num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>Guidance on integrating ESG considerations</w:t>
      </w:r>
      <w:r w:rsidR="006430CF">
        <w:rPr>
          <w:rFonts w:ascii="Noto Sans" w:hAnsi="Noto Sans" w:cs="Noto Sans"/>
          <w:sz w:val="24"/>
          <w:szCs w:val="24"/>
          <w:lang w:val="en-GB"/>
        </w:rPr>
        <w:t xml:space="preserve"> where relevant</w:t>
      </w:r>
      <w:r w:rsidRPr="00B07BAD">
        <w:rPr>
          <w:rFonts w:ascii="Noto Sans" w:hAnsi="Noto Sans" w:cs="Noto Sans"/>
          <w:sz w:val="24"/>
          <w:szCs w:val="24"/>
          <w:lang w:val="en-GB"/>
        </w:rPr>
        <w:t>,</w:t>
      </w:r>
    </w:p>
    <w:p w14:paraId="30AA099C" w14:textId="77777777" w:rsidR="00346D42" w:rsidRPr="00B07BAD" w:rsidRDefault="00346D42" w:rsidP="00346D42">
      <w:pPr>
        <w:pStyle w:val="ListParagraph"/>
        <w:numPr>
          <w:ilvl w:val="0"/>
          <w:numId w:val="3"/>
        </w:num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 xml:space="preserve">Suggestions for context-sensitive </w:t>
      </w:r>
      <w:proofErr w:type="spellStart"/>
      <w:r w:rsidRPr="00B07BAD"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 w:rsidRPr="00B07BAD">
        <w:rPr>
          <w:rFonts w:ascii="Noto Sans" w:hAnsi="Noto Sans" w:cs="Noto Sans"/>
          <w:sz w:val="24"/>
          <w:szCs w:val="24"/>
          <w:lang w:val="en-GB"/>
        </w:rPr>
        <w:t xml:space="preserve"> indicators, and</w:t>
      </w:r>
    </w:p>
    <w:p w14:paraId="063F727A" w14:textId="77777777" w:rsidR="00346D42" w:rsidRPr="00B07BAD" w:rsidRDefault="00346D42" w:rsidP="00346D42">
      <w:pPr>
        <w:pStyle w:val="ListParagraph"/>
        <w:numPr>
          <w:ilvl w:val="0"/>
          <w:numId w:val="3"/>
        </w:num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>Illustrative examples from development and humanitarian programming.</w:t>
      </w:r>
    </w:p>
    <w:p w14:paraId="4B176CC4" w14:textId="26DAADF4" w:rsidR="00346D42" w:rsidRDefault="00346D42" w:rsidP="00346D42">
      <w:p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 xml:space="preserve">This guidance respects the diversity of the </w:t>
      </w:r>
      <w:r w:rsidR="00C31C46">
        <w:rPr>
          <w:rFonts w:ascii="Noto Sans" w:hAnsi="Noto Sans" w:cs="Noto Sans"/>
          <w:sz w:val="24"/>
          <w:szCs w:val="24"/>
          <w:lang w:val="en-GB"/>
        </w:rPr>
        <w:t>organisations</w:t>
      </w:r>
      <w:r w:rsidRPr="00B07BAD">
        <w:rPr>
          <w:rFonts w:ascii="Noto Sans" w:hAnsi="Noto Sans" w:cs="Noto Sans"/>
          <w:sz w:val="24"/>
          <w:szCs w:val="24"/>
          <w:lang w:val="en-GB"/>
        </w:rPr>
        <w:t xml:space="preserve"> and encourages adaptation to organizational </w:t>
      </w:r>
      <w:r>
        <w:rPr>
          <w:rFonts w:ascii="Noto Sans" w:hAnsi="Noto Sans" w:cs="Noto Sans"/>
          <w:sz w:val="24"/>
          <w:szCs w:val="24"/>
          <w:lang w:val="en-GB"/>
        </w:rPr>
        <w:t>needs</w:t>
      </w:r>
      <w:r w:rsidRPr="00B07BAD">
        <w:rPr>
          <w:rFonts w:ascii="Noto Sans" w:hAnsi="Noto Sans" w:cs="Noto Sans"/>
          <w:sz w:val="24"/>
          <w:szCs w:val="24"/>
          <w:lang w:val="en-GB"/>
        </w:rPr>
        <w:t xml:space="preserve"> rather than standardization across different partners. The ambition is to strengthen learning, </w:t>
      </w:r>
      <w:r>
        <w:rPr>
          <w:rFonts w:ascii="Noto Sans" w:hAnsi="Noto Sans" w:cs="Noto Sans"/>
          <w:sz w:val="24"/>
          <w:szCs w:val="24"/>
          <w:lang w:val="en-GB"/>
        </w:rPr>
        <w:t xml:space="preserve">transparency, </w:t>
      </w:r>
      <w:r w:rsidRPr="00B07BAD">
        <w:rPr>
          <w:rFonts w:ascii="Noto Sans" w:hAnsi="Noto Sans" w:cs="Noto Sans"/>
          <w:sz w:val="24"/>
          <w:szCs w:val="24"/>
          <w:lang w:val="en-GB"/>
        </w:rPr>
        <w:t>accountability, sustainability and long-term effectiveness, not to impose one-size-fits-all metrics.</w:t>
      </w:r>
    </w:p>
    <w:p w14:paraId="20EADA50" w14:textId="6CC602C1" w:rsidR="00445BF0" w:rsidRDefault="00346D42" w:rsidP="00346D42">
      <w:p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 xml:space="preserve">The expectation is that partners will identify </w:t>
      </w:r>
      <w:r w:rsidRPr="0095766B">
        <w:rPr>
          <w:rFonts w:ascii="Noto Sans" w:hAnsi="Noto Sans" w:cs="Noto Sans"/>
          <w:sz w:val="24"/>
          <w:szCs w:val="24"/>
          <w:lang w:val="en-GB"/>
        </w:rPr>
        <w:t xml:space="preserve">selected indicators for measuring and analysing own progression in strengthening </w:t>
      </w:r>
      <w:proofErr w:type="spellStart"/>
      <w:r w:rsidRPr="0095766B"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 w:rsidRPr="0095766B">
        <w:rPr>
          <w:rFonts w:ascii="Noto Sans" w:hAnsi="Noto Sans" w:cs="Noto Sans"/>
          <w:sz w:val="24"/>
          <w:szCs w:val="24"/>
          <w:lang w:val="en-GB"/>
        </w:rPr>
        <w:t xml:space="preserve"> both at the country and HQ level.</w:t>
      </w:r>
    </w:p>
    <w:p w14:paraId="7CBD1A66" w14:textId="47EC5BFA" w:rsidR="00445BF0" w:rsidRDefault="00445BF0" w:rsidP="00346D42">
      <w:pPr>
        <w:rPr>
          <w:rFonts w:ascii="Noto Sans" w:hAnsi="Noto Sans" w:cs="Noto Sans"/>
          <w:sz w:val="24"/>
          <w:szCs w:val="24"/>
          <w:lang w:val="en-GB"/>
        </w:rPr>
      </w:pPr>
      <w:r w:rsidRPr="00445BF0">
        <w:rPr>
          <w:rFonts w:ascii="Noto Sans" w:hAnsi="Noto Sans" w:cs="Noto Sans"/>
          <w:sz w:val="24"/>
          <w:szCs w:val="24"/>
          <w:lang w:val="en-GB"/>
        </w:rPr>
        <w:t xml:space="preserve">The </w:t>
      </w:r>
      <w:proofErr w:type="spellStart"/>
      <w:r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445BF0">
        <w:rPr>
          <w:rFonts w:ascii="Noto Sans" w:hAnsi="Noto Sans" w:cs="Noto Sans"/>
          <w:sz w:val="24"/>
          <w:szCs w:val="24"/>
          <w:lang w:val="en-GB"/>
        </w:rPr>
        <w:t xml:space="preserve">strategy may be </w:t>
      </w:r>
      <w:r w:rsidR="00DF1BD5">
        <w:rPr>
          <w:rFonts w:ascii="Noto Sans" w:hAnsi="Noto Sans" w:cs="Noto Sans"/>
          <w:sz w:val="24"/>
          <w:szCs w:val="24"/>
          <w:lang w:val="en-GB"/>
        </w:rPr>
        <w:t>discussed</w:t>
      </w:r>
      <w:r w:rsidRPr="00445BF0">
        <w:rPr>
          <w:rFonts w:ascii="Noto Sans" w:hAnsi="Noto Sans" w:cs="Noto Sans"/>
          <w:sz w:val="24"/>
          <w:szCs w:val="24"/>
          <w:lang w:val="en-GB"/>
        </w:rPr>
        <w:t xml:space="preserve"> during </w:t>
      </w:r>
      <w:r w:rsidR="00DF1BD5">
        <w:rPr>
          <w:rFonts w:ascii="Noto Sans" w:hAnsi="Noto Sans" w:cs="Noto Sans"/>
          <w:sz w:val="24"/>
          <w:szCs w:val="24"/>
          <w:lang w:val="en-GB"/>
        </w:rPr>
        <w:t xml:space="preserve">annual </w:t>
      </w:r>
      <w:r w:rsidRPr="00445BF0">
        <w:rPr>
          <w:rFonts w:ascii="Noto Sans" w:hAnsi="Noto Sans" w:cs="Noto Sans"/>
          <w:sz w:val="24"/>
          <w:szCs w:val="24"/>
          <w:lang w:val="en-GB"/>
        </w:rPr>
        <w:t xml:space="preserve">consultations and </w:t>
      </w:r>
      <w:r w:rsidR="00DF1BD5">
        <w:rPr>
          <w:rFonts w:ascii="Noto Sans" w:hAnsi="Noto Sans" w:cs="Noto Sans"/>
          <w:sz w:val="24"/>
          <w:szCs w:val="24"/>
          <w:lang w:val="en-GB"/>
        </w:rPr>
        <w:t xml:space="preserve">reviews and may be </w:t>
      </w:r>
      <w:r>
        <w:rPr>
          <w:rFonts w:ascii="Noto Sans" w:hAnsi="Noto Sans" w:cs="Noto Sans"/>
          <w:sz w:val="24"/>
          <w:szCs w:val="24"/>
          <w:lang w:val="en-GB"/>
        </w:rPr>
        <w:t xml:space="preserve">requested </w:t>
      </w:r>
      <w:r w:rsidRPr="00445BF0">
        <w:rPr>
          <w:rFonts w:ascii="Noto Sans" w:hAnsi="Noto Sans" w:cs="Noto Sans"/>
          <w:sz w:val="24"/>
          <w:szCs w:val="24"/>
          <w:lang w:val="en-GB"/>
        </w:rPr>
        <w:t>by</w:t>
      </w:r>
      <w:r w:rsidR="00DF1BD5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445BF0">
        <w:rPr>
          <w:rFonts w:ascii="Noto Sans" w:hAnsi="Noto Sans" w:cs="Noto Sans"/>
          <w:sz w:val="24"/>
          <w:szCs w:val="24"/>
          <w:lang w:val="en-GB"/>
        </w:rPr>
        <w:t xml:space="preserve">auditors. It </w:t>
      </w:r>
      <w:r w:rsidR="00DF1BD5">
        <w:rPr>
          <w:rFonts w:ascii="Noto Sans" w:hAnsi="Noto Sans" w:cs="Noto Sans"/>
          <w:sz w:val="24"/>
          <w:szCs w:val="24"/>
          <w:lang w:val="en-GB"/>
        </w:rPr>
        <w:t>serves as</w:t>
      </w:r>
      <w:r w:rsidRPr="00445BF0">
        <w:rPr>
          <w:rFonts w:ascii="Noto Sans" w:hAnsi="Noto Sans" w:cs="Noto Sans"/>
          <w:sz w:val="24"/>
          <w:szCs w:val="24"/>
          <w:lang w:val="en-GB"/>
        </w:rPr>
        <w:t xml:space="preserve"> a direct reference to </w:t>
      </w:r>
      <w:r w:rsidR="00DF1BD5">
        <w:rPr>
          <w:rFonts w:ascii="Noto Sans" w:hAnsi="Noto Sans" w:cs="Noto Sans"/>
          <w:sz w:val="24"/>
          <w:szCs w:val="24"/>
          <w:lang w:val="en-GB"/>
        </w:rPr>
        <w:t>the</w:t>
      </w:r>
      <w:r>
        <w:rPr>
          <w:rFonts w:ascii="Noto Sans" w:hAnsi="Noto Sans" w:cs="Noto Sans"/>
          <w:sz w:val="24"/>
          <w:szCs w:val="24"/>
          <w:lang w:val="en-GB"/>
        </w:rPr>
        <w:t xml:space="preserve"> strong</w:t>
      </w:r>
      <w:r w:rsidRPr="00445BF0">
        <w:rPr>
          <w:rFonts w:ascii="Noto Sans" w:hAnsi="Noto Sans" w:cs="Noto Sans"/>
          <w:sz w:val="24"/>
          <w:szCs w:val="24"/>
          <w:lang w:val="en-GB"/>
        </w:rPr>
        <w:t xml:space="preserve"> value proposition </w:t>
      </w:r>
      <w:r w:rsidR="00DF1BD5">
        <w:rPr>
          <w:rFonts w:ascii="Noto Sans" w:hAnsi="Noto Sans" w:cs="Noto Sans"/>
          <w:sz w:val="24"/>
          <w:szCs w:val="24"/>
          <w:lang w:val="en-GB"/>
        </w:rPr>
        <w:t>of</w:t>
      </w:r>
      <w:r w:rsidRPr="00445BF0">
        <w:rPr>
          <w:rFonts w:ascii="Noto Sans" w:hAnsi="Noto Sans" w:cs="Noto Sans"/>
          <w:sz w:val="24"/>
          <w:szCs w:val="24"/>
          <w:lang w:val="en-GB"/>
        </w:rPr>
        <w:t xml:space="preserve"> the Danish Strategic Partnerships as a </w:t>
      </w:r>
      <w:r>
        <w:rPr>
          <w:rFonts w:ascii="Noto Sans" w:hAnsi="Noto Sans" w:cs="Noto Sans"/>
          <w:sz w:val="24"/>
          <w:szCs w:val="24"/>
          <w:lang w:val="en-GB"/>
        </w:rPr>
        <w:t>cost-</w:t>
      </w:r>
      <w:r w:rsidRPr="00445BF0">
        <w:rPr>
          <w:rFonts w:ascii="Noto Sans" w:hAnsi="Noto Sans" w:cs="Noto Sans"/>
          <w:sz w:val="24"/>
          <w:szCs w:val="24"/>
          <w:lang w:val="en-GB"/>
        </w:rPr>
        <w:t xml:space="preserve">effective modality for </w:t>
      </w:r>
      <w:proofErr w:type="spellStart"/>
      <w:r w:rsidRPr="00445BF0">
        <w:rPr>
          <w:rFonts w:ascii="Noto Sans" w:hAnsi="Noto Sans" w:cs="Noto Sans"/>
          <w:sz w:val="24"/>
          <w:szCs w:val="24"/>
          <w:lang w:val="en-GB"/>
        </w:rPr>
        <w:t>implementatin</w:t>
      </w:r>
      <w:r w:rsidR="00DF1BD5">
        <w:rPr>
          <w:rFonts w:ascii="Noto Sans" w:hAnsi="Noto Sans" w:cs="Noto Sans"/>
          <w:sz w:val="24"/>
          <w:szCs w:val="24"/>
          <w:lang w:val="en-GB"/>
        </w:rPr>
        <w:t>g</w:t>
      </w:r>
      <w:proofErr w:type="spellEnd"/>
      <w:r w:rsidRPr="00445BF0">
        <w:rPr>
          <w:rFonts w:ascii="Noto Sans" w:hAnsi="Noto Sans" w:cs="Noto Sans"/>
          <w:sz w:val="24"/>
          <w:szCs w:val="24"/>
          <w:lang w:val="en-GB"/>
        </w:rPr>
        <w:t xml:space="preserve"> </w:t>
      </w:r>
      <w:r>
        <w:rPr>
          <w:rFonts w:ascii="Noto Sans" w:hAnsi="Noto Sans" w:cs="Noto Sans"/>
          <w:sz w:val="24"/>
          <w:szCs w:val="24"/>
          <w:lang w:val="en-GB"/>
        </w:rPr>
        <w:t>Denmark’s</w:t>
      </w:r>
      <w:r w:rsidRPr="00445BF0">
        <w:rPr>
          <w:rFonts w:ascii="Noto Sans" w:hAnsi="Noto Sans" w:cs="Noto Sans"/>
          <w:sz w:val="24"/>
          <w:szCs w:val="24"/>
          <w:lang w:val="en-GB"/>
        </w:rPr>
        <w:t xml:space="preserve"> strategy for development cooperation.</w:t>
      </w:r>
    </w:p>
    <w:p w14:paraId="5901ACC1" w14:textId="77777777" w:rsidR="00445BF0" w:rsidRPr="00B07BAD" w:rsidRDefault="00445BF0" w:rsidP="00346D42">
      <w:pPr>
        <w:rPr>
          <w:rFonts w:ascii="Noto Sans" w:hAnsi="Noto Sans" w:cs="Noto Sans"/>
          <w:sz w:val="24"/>
          <w:szCs w:val="24"/>
          <w:lang w:val="en-GB"/>
        </w:rPr>
      </w:pPr>
    </w:p>
    <w:p w14:paraId="10238DE1" w14:textId="77777777" w:rsidR="00346D42" w:rsidRPr="00354516" w:rsidRDefault="00346D42" w:rsidP="00346D42">
      <w:pPr>
        <w:pStyle w:val="Heading1"/>
        <w:rPr>
          <w:rFonts w:ascii="Noto Sans" w:hAnsi="Noto Sans" w:cs="Noto Sans"/>
          <w:sz w:val="32"/>
          <w:szCs w:val="24"/>
          <w:lang w:val="en-GB"/>
        </w:rPr>
      </w:pPr>
      <w:r w:rsidRPr="00354516">
        <w:rPr>
          <w:rFonts w:ascii="Noto Sans" w:hAnsi="Noto Sans" w:cs="Noto Sans"/>
          <w:sz w:val="32"/>
          <w:szCs w:val="24"/>
          <w:lang w:val="en-GB"/>
        </w:rPr>
        <w:t xml:space="preserve">2. Understanding </w:t>
      </w:r>
      <w:r>
        <w:rPr>
          <w:rFonts w:ascii="Noto Sans" w:hAnsi="Noto Sans" w:cs="Noto Sans"/>
          <w:sz w:val="32"/>
          <w:szCs w:val="24"/>
          <w:lang w:val="en-GB"/>
        </w:rPr>
        <w:t>v</w:t>
      </w:r>
      <w:r w:rsidRPr="00354516">
        <w:rPr>
          <w:rFonts w:ascii="Noto Sans" w:hAnsi="Noto Sans" w:cs="Noto Sans"/>
          <w:sz w:val="32"/>
          <w:szCs w:val="24"/>
          <w:lang w:val="en-GB"/>
        </w:rPr>
        <w:t xml:space="preserve">alue for </w:t>
      </w:r>
      <w:r>
        <w:rPr>
          <w:rFonts w:ascii="Noto Sans" w:hAnsi="Noto Sans" w:cs="Noto Sans"/>
          <w:sz w:val="32"/>
          <w:szCs w:val="24"/>
          <w:lang w:val="en-GB"/>
        </w:rPr>
        <w:t>m</w:t>
      </w:r>
      <w:r w:rsidRPr="00354516">
        <w:rPr>
          <w:rFonts w:ascii="Noto Sans" w:hAnsi="Noto Sans" w:cs="Noto Sans"/>
          <w:sz w:val="32"/>
          <w:szCs w:val="24"/>
          <w:lang w:val="en-GB"/>
        </w:rPr>
        <w:t>oney (</w:t>
      </w:r>
      <w:proofErr w:type="spellStart"/>
      <w:r w:rsidRPr="00354516">
        <w:rPr>
          <w:rFonts w:ascii="Noto Sans" w:hAnsi="Noto Sans" w:cs="Noto Sans"/>
          <w:sz w:val="32"/>
          <w:szCs w:val="24"/>
          <w:lang w:val="en-GB"/>
        </w:rPr>
        <w:t>VfM</w:t>
      </w:r>
      <w:proofErr w:type="spellEnd"/>
      <w:r w:rsidRPr="00354516">
        <w:rPr>
          <w:rFonts w:ascii="Noto Sans" w:hAnsi="Noto Sans" w:cs="Noto Sans"/>
          <w:sz w:val="32"/>
          <w:szCs w:val="24"/>
          <w:lang w:val="en-GB"/>
        </w:rPr>
        <w:t>)</w:t>
      </w:r>
    </w:p>
    <w:p w14:paraId="3F06BB71" w14:textId="77777777" w:rsidR="00346D42" w:rsidRPr="00B07BAD" w:rsidRDefault="00346D42" w:rsidP="00346D42">
      <w:pPr>
        <w:rPr>
          <w:rFonts w:ascii="Noto Sans" w:hAnsi="Noto Sans" w:cs="Noto Sans"/>
          <w:sz w:val="24"/>
          <w:szCs w:val="24"/>
          <w:lang w:val="en-GB"/>
        </w:rPr>
      </w:pPr>
      <w:proofErr w:type="spellStart"/>
      <w:r w:rsidRPr="00B07BAD"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 w:rsidRPr="00B07BAD">
        <w:rPr>
          <w:rFonts w:ascii="Noto Sans" w:hAnsi="Noto Sans" w:cs="Noto Sans"/>
          <w:sz w:val="24"/>
          <w:szCs w:val="24"/>
          <w:lang w:val="en-GB"/>
        </w:rPr>
        <w:t xml:space="preserve"> is about achieving the best possible outcomes with available resources. It is not synonymous with cost-cutting, but rather about making informed, equitable, and transparent decisions that maximize sustainable impact.</w:t>
      </w:r>
    </w:p>
    <w:p w14:paraId="0051BB91" w14:textId="77777777" w:rsidR="00346D42" w:rsidRPr="00B07BAD" w:rsidRDefault="00346D42" w:rsidP="00346D42">
      <w:p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 xml:space="preserve">The MFA’s approach is inspired by the widely used </w:t>
      </w:r>
      <w:r>
        <w:rPr>
          <w:rFonts w:ascii="Noto Sans" w:hAnsi="Noto Sans" w:cs="Noto Sans"/>
          <w:sz w:val="24"/>
          <w:szCs w:val="24"/>
          <w:lang w:val="en-GB"/>
        </w:rPr>
        <w:t>4-</w:t>
      </w:r>
      <w:r w:rsidRPr="00B07BAD">
        <w:rPr>
          <w:rFonts w:ascii="Noto Sans" w:hAnsi="Noto Sans" w:cs="Noto Sans"/>
          <w:sz w:val="24"/>
          <w:szCs w:val="24"/>
          <w:lang w:val="en-GB"/>
        </w:rPr>
        <w:t>Es framework</w:t>
      </w:r>
      <w:r>
        <w:rPr>
          <w:rFonts w:ascii="Noto Sans" w:hAnsi="Noto Sans" w:cs="Noto Sans"/>
          <w:sz w:val="24"/>
          <w:szCs w:val="24"/>
          <w:lang w:val="en-GB"/>
        </w:rPr>
        <w:t xml:space="preserve"> including cost-effectiveness</w:t>
      </w:r>
      <w:r w:rsidRPr="00B07BAD">
        <w:rPr>
          <w:rFonts w:ascii="Noto Sans" w:hAnsi="Noto Sans" w:cs="Noto Sans"/>
          <w:sz w:val="24"/>
          <w:szCs w:val="24"/>
          <w:lang w:val="en-GB"/>
        </w:rPr>
        <w:t>:</w:t>
      </w:r>
    </w:p>
    <w:p w14:paraId="5A955129" w14:textId="77777777" w:rsidR="00346D42" w:rsidRPr="00B07BAD" w:rsidRDefault="00346D42" w:rsidP="00346D42">
      <w:pPr>
        <w:pStyle w:val="ListParagraph"/>
        <w:numPr>
          <w:ilvl w:val="0"/>
          <w:numId w:val="2"/>
        </w:numPr>
        <w:rPr>
          <w:rFonts w:ascii="Noto Sans" w:hAnsi="Noto Sans" w:cs="Noto Sans"/>
          <w:sz w:val="24"/>
          <w:szCs w:val="24"/>
          <w:lang w:val="en-GB"/>
        </w:rPr>
      </w:pPr>
      <w:r w:rsidRPr="00354516">
        <w:rPr>
          <w:rFonts w:ascii="Noto Sans" w:hAnsi="Noto Sans" w:cs="Noto Sans"/>
          <w:b/>
          <w:bCs/>
          <w:sz w:val="26"/>
          <w:szCs w:val="26"/>
          <w:lang w:val="en-GB"/>
        </w:rPr>
        <w:t>E</w:t>
      </w:r>
      <w:r w:rsidRPr="00B07BAD">
        <w:rPr>
          <w:rFonts w:ascii="Noto Sans" w:hAnsi="Noto Sans" w:cs="Noto Sans"/>
          <w:sz w:val="24"/>
          <w:szCs w:val="24"/>
          <w:lang w:val="en-GB"/>
        </w:rPr>
        <w:t>conomy – minimizing the cost of inputs (e.g. goods/services) without compromising quality.</w:t>
      </w:r>
    </w:p>
    <w:p w14:paraId="2D578789" w14:textId="77777777" w:rsidR="00346D42" w:rsidRPr="00B07BAD" w:rsidRDefault="00346D42" w:rsidP="00346D42">
      <w:pPr>
        <w:pStyle w:val="ListParagraph"/>
        <w:numPr>
          <w:ilvl w:val="0"/>
          <w:numId w:val="2"/>
        </w:numPr>
        <w:rPr>
          <w:rFonts w:ascii="Noto Sans" w:hAnsi="Noto Sans" w:cs="Noto Sans"/>
          <w:sz w:val="24"/>
          <w:szCs w:val="24"/>
          <w:lang w:val="en-GB"/>
        </w:rPr>
      </w:pPr>
      <w:r w:rsidRPr="00354516">
        <w:rPr>
          <w:rFonts w:ascii="Noto Sans" w:hAnsi="Noto Sans" w:cs="Noto Sans"/>
          <w:b/>
          <w:bCs/>
          <w:sz w:val="26"/>
          <w:szCs w:val="26"/>
          <w:lang w:val="en-GB"/>
        </w:rPr>
        <w:t>E</w:t>
      </w:r>
      <w:r w:rsidRPr="00B07BAD">
        <w:rPr>
          <w:rFonts w:ascii="Noto Sans" w:hAnsi="Noto Sans" w:cs="Noto Sans"/>
          <w:sz w:val="24"/>
          <w:szCs w:val="24"/>
          <w:lang w:val="en-GB"/>
        </w:rPr>
        <w:t>fficiency – optimizing the ratio of inputs to outputs.</w:t>
      </w:r>
      <w:r w:rsidRPr="00117DB1">
        <w:t xml:space="preserve"> </w:t>
      </w:r>
      <w:r>
        <w:t>H</w:t>
      </w:r>
      <w:r w:rsidRPr="00117DB1">
        <w:rPr>
          <w:rFonts w:ascii="Noto Sans" w:hAnsi="Noto Sans" w:cs="Noto Sans"/>
          <w:sz w:val="24"/>
          <w:szCs w:val="24"/>
          <w:lang w:val="en-GB"/>
        </w:rPr>
        <w:t xml:space="preserve">ow well the </w:t>
      </w:r>
      <w:r>
        <w:rPr>
          <w:rFonts w:ascii="Noto Sans" w:hAnsi="Noto Sans" w:cs="Noto Sans"/>
          <w:sz w:val="24"/>
          <w:szCs w:val="24"/>
          <w:lang w:val="en-GB"/>
        </w:rPr>
        <w:t>organisation</w:t>
      </w:r>
      <w:r w:rsidRPr="00117DB1">
        <w:rPr>
          <w:rFonts w:ascii="Noto Sans" w:hAnsi="Noto Sans" w:cs="Noto Sans"/>
          <w:sz w:val="24"/>
          <w:szCs w:val="24"/>
          <w:lang w:val="en-GB"/>
        </w:rPr>
        <w:t xml:space="preserve"> is converting inputs into outputs.</w:t>
      </w:r>
    </w:p>
    <w:p w14:paraId="11F75B61" w14:textId="77777777" w:rsidR="00346D42" w:rsidRPr="00117DB1" w:rsidRDefault="00346D42" w:rsidP="00346D42">
      <w:pPr>
        <w:pStyle w:val="ListParagraph"/>
        <w:numPr>
          <w:ilvl w:val="0"/>
          <w:numId w:val="2"/>
        </w:numPr>
        <w:rPr>
          <w:rFonts w:ascii="Noto Sans" w:hAnsi="Noto Sans" w:cs="Noto Sans"/>
          <w:sz w:val="24"/>
          <w:szCs w:val="24"/>
          <w:lang w:val="en-GB"/>
        </w:rPr>
      </w:pPr>
      <w:r w:rsidRPr="00117DB1">
        <w:rPr>
          <w:rFonts w:ascii="Noto Sans" w:hAnsi="Noto Sans" w:cs="Noto Sans"/>
          <w:b/>
          <w:bCs/>
          <w:sz w:val="26"/>
          <w:szCs w:val="26"/>
          <w:lang w:val="en-GB"/>
        </w:rPr>
        <w:t>E</w:t>
      </w:r>
      <w:r w:rsidRPr="00117DB1">
        <w:rPr>
          <w:rFonts w:ascii="Noto Sans" w:hAnsi="Noto Sans" w:cs="Noto Sans"/>
          <w:sz w:val="24"/>
          <w:szCs w:val="24"/>
          <w:lang w:val="en-GB"/>
        </w:rPr>
        <w:t>ffectiveness – achieving intended outcomes and long-term changes.</w:t>
      </w:r>
      <w:r w:rsidRPr="005B2A94">
        <w:rPr>
          <w:rFonts w:ascii="Noto Sans" w:hAnsi="Noto Sans" w:cs="Noto Sans"/>
          <w:sz w:val="24"/>
          <w:szCs w:val="24"/>
          <w:lang w:val="en-GB"/>
        </w:rPr>
        <w:t xml:space="preserve"> H</w:t>
      </w:r>
      <w:r w:rsidRPr="00117DB1">
        <w:rPr>
          <w:rFonts w:ascii="Noto Sans" w:hAnsi="Noto Sans" w:cs="Noto Sans"/>
          <w:sz w:val="24"/>
          <w:szCs w:val="24"/>
          <w:lang w:val="en-GB"/>
        </w:rPr>
        <w:t>ow well outputs produced by an activity are having the</w:t>
      </w:r>
      <w:r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117DB1">
        <w:rPr>
          <w:rFonts w:ascii="Noto Sans" w:hAnsi="Noto Sans" w:cs="Noto Sans"/>
          <w:sz w:val="24"/>
          <w:szCs w:val="24"/>
          <w:lang w:val="en-GB"/>
        </w:rPr>
        <w:t>intended effect.</w:t>
      </w:r>
    </w:p>
    <w:p w14:paraId="59794C16" w14:textId="77777777" w:rsidR="00346D42" w:rsidRDefault="00346D42" w:rsidP="00346D42">
      <w:pPr>
        <w:pStyle w:val="ListParagraph"/>
        <w:numPr>
          <w:ilvl w:val="0"/>
          <w:numId w:val="2"/>
        </w:numPr>
        <w:rPr>
          <w:rFonts w:ascii="Noto Sans" w:hAnsi="Noto Sans" w:cs="Noto Sans"/>
          <w:sz w:val="24"/>
          <w:szCs w:val="24"/>
          <w:lang w:val="en-GB"/>
        </w:rPr>
      </w:pPr>
      <w:r w:rsidRPr="00354516">
        <w:rPr>
          <w:rFonts w:ascii="Noto Sans" w:hAnsi="Noto Sans" w:cs="Noto Sans"/>
          <w:b/>
          <w:bCs/>
          <w:sz w:val="26"/>
          <w:szCs w:val="26"/>
          <w:lang w:val="en-GB"/>
        </w:rPr>
        <w:t>E</w:t>
      </w:r>
      <w:r w:rsidRPr="00B07BAD">
        <w:rPr>
          <w:rFonts w:ascii="Noto Sans" w:hAnsi="Noto Sans" w:cs="Noto Sans"/>
          <w:sz w:val="24"/>
          <w:szCs w:val="24"/>
          <w:lang w:val="en-GB"/>
        </w:rPr>
        <w:t>quity – ensuring fair access and targeting, especially for those most in need.</w:t>
      </w:r>
    </w:p>
    <w:p w14:paraId="1D68DC82" w14:textId="77777777" w:rsidR="00346D42" w:rsidRPr="00B07BAD" w:rsidRDefault="00346D42" w:rsidP="00346D42">
      <w:pPr>
        <w:pStyle w:val="ListParagraph"/>
        <w:numPr>
          <w:ilvl w:val="0"/>
          <w:numId w:val="2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Cost-</w:t>
      </w:r>
      <w:r w:rsidRPr="00A6644D">
        <w:rPr>
          <w:rFonts w:ascii="Noto Sans" w:hAnsi="Noto Sans" w:cs="Noto Sans"/>
          <w:sz w:val="24"/>
          <w:szCs w:val="24"/>
          <w:lang w:val="en-GB"/>
        </w:rPr>
        <w:t>e</w:t>
      </w:r>
      <w:r>
        <w:rPr>
          <w:rFonts w:ascii="Noto Sans" w:hAnsi="Noto Sans" w:cs="Noto Sans"/>
          <w:sz w:val="24"/>
          <w:szCs w:val="24"/>
          <w:lang w:val="en-GB"/>
        </w:rPr>
        <w:t>ffectiveness – impact on poverty reduction as well as welfare and economic development, relative to project inputs.</w:t>
      </w:r>
    </w:p>
    <w:p w14:paraId="5AE02C02" w14:textId="77777777" w:rsidR="00346D42" w:rsidRPr="00354516" w:rsidRDefault="00346D42" w:rsidP="00346D42">
      <w:pPr>
        <w:pStyle w:val="Heading1"/>
        <w:rPr>
          <w:rFonts w:ascii="Noto Sans" w:hAnsi="Noto Sans" w:cs="Noto Sans"/>
          <w:sz w:val="32"/>
          <w:szCs w:val="24"/>
          <w:lang w:val="en-GB"/>
        </w:rPr>
      </w:pPr>
      <w:r w:rsidRPr="00354516">
        <w:rPr>
          <w:rFonts w:ascii="Noto Sans" w:hAnsi="Noto Sans" w:cs="Noto Sans"/>
          <w:sz w:val="32"/>
          <w:szCs w:val="24"/>
          <w:lang w:val="en-GB"/>
        </w:rPr>
        <w:t xml:space="preserve">3. Key </w:t>
      </w:r>
      <w:r>
        <w:rPr>
          <w:rFonts w:ascii="Noto Sans" w:hAnsi="Noto Sans" w:cs="Noto Sans"/>
          <w:sz w:val="32"/>
          <w:szCs w:val="24"/>
          <w:lang w:val="en-GB"/>
        </w:rPr>
        <w:t>e</w:t>
      </w:r>
      <w:r w:rsidRPr="00354516">
        <w:rPr>
          <w:rFonts w:ascii="Noto Sans" w:hAnsi="Noto Sans" w:cs="Noto Sans"/>
          <w:sz w:val="32"/>
          <w:szCs w:val="24"/>
          <w:lang w:val="en-GB"/>
        </w:rPr>
        <w:t xml:space="preserve">lements of a </w:t>
      </w:r>
      <w:r>
        <w:rPr>
          <w:rFonts w:ascii="Noto Sans" w:hAnsi="Noto Sans" w:cs="Noto Sans"/>
          <w:sz w:val="32"/>
          <w:szCs w:val="24"/>
          <w:lang w:val="en-GB"/>
        </w:rPr>
        <w:t>p</w:t>
      </w:r>
      <w:r w:rsidRPr="00354516">
        <w:rPr>
          <w:rFonts w:ascii="Noto Sans" w:hAnsi="Noto Sans" w:cs="Noto Sans"/>
          <w:sz w:val="32"/>
          <w:szCs w:val="24"/>
          <w:lang w:val="en-GB"/>
        </w:rPr>
        <w:t>artner-</w:t>
      </w:r>
      <w:r>
        <w:rPr>
          <w:rFonts w:ascii="Noto Sans" w:hAnsi="Noto Sans" w:cs="Noto Sans"/>
          <w:sz w:val="32"/>
          <w:szCs w:val="24"/>
          <w:lang w:val="en-GB"/>
        </w:rPr>
        <w:t>s</w:t>
      </w:r>
      <w:r w:rsidRPr="00354516">
        <w:rPr>
          <w:rFonts w:ascii="Noto Sans" w:hAnsi="Noto Sans" w:cs="Noto Sans"/>
          <w:sz w:val="32"/>
          <w:szCs w:val="24"/>
          <w:lang w:val="en-GB"/>
        </w:rPr>
        <w:t xml:space="preserve">pecific </w:t>
      </w:r>
      <w:proofErr w:type="spellStart"/>
      <w:r w:rsidRPr="00354516">
        <w:rPr>
          <w:rFonts w:ascii="Noto Sans" w:hAnsi="Noto Sans" w:cs="Noto Sans"/>
          <w:sz w:val="32"/>
          <w:szCs w:val="24"/>
          <w:lang w:val="en-GB"/>
        </w:rPr>
        <w:t>VfM</w:t>
      </w:r>
      <w:proofErr w:type="spellEnd"/>
      <w:r w:rsidRPr="00354516">
        <w:rPr>
          <w:rFonts w:ascii="Noto Sans" w:hAnsi="Noto Sans" w:cs="Noto Sans"/>
          <w:sz w:val="32"/>
          <w:szCs w:val="24"/>
          <w:lang w:val="en-GB"/>
        </w:rPr>
        <w:t xml:space="preserve"> </w:t>
      </w:r>
      <w:r>
        <w:rPr>
          <w:rFonts w:ascii="Noto Sans" w:hAnsi="Noto Sans" w:cs="Noto Sans"/>
          <w:sz w:val="32"/>
          <w:szCs w:val="24"/>
          <w:lang w:val="en-GB"/>
        </w:rPr>
        <w:t>s</w:t>
      </w:r>
      <w:r w:rsidRPr="00354516">
        <w:rPr>
          <w:rFonts w:ascii="Noto Sans" w:hAnsi="Noto Sans" w:cs="Noto Sans"/>
          <w:sz w:val="32"/>
          <w:szCs w:val="24"/>
          <w:lang w:val="en-GB"/>
        </w:rPr>
        <w:t>trategy</w:t>
      </w:r>
      <w:r>
        <w:rPr>
          <w:rFonts w:ascii="Noto Sans" w:hAnsi="Noto Sans" w:cs="Noto Sans"/>
          <w:sz w:val="32"/>
          <w:szCs w:val="24"/>
          <w:lang w:val="en-GB"/>
        </w:rPr>
        <w:t>/approach</w:t>
      </w:r>
    </w:p>
    <w:p w14:paraId="65053F30" w14:textId="71906A1B" w:rsidR="00346D42" w:rsidRPr="00B07BAD" w:rsidRDefault="00C31C46" w:rsidP="00346D42">
      <w:p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Organisations</w:t>
      </w:r>
      <w:r w:rsidR="00346D42" w:rsidRPr="00B07BAD">
        <w:rPr>
          <w:rFonts w:ascii="Noto Sans" w:hAnsi="Noto Sans" w:cs="Noto Sans"/>
          <w:sz w:val="24"/>
          <w:szCs w:val="24"/>
          <w:lang w:val="en-GB"/>
        </w:rPr>
        <w:t xml:space="preserve"> are encouraged to </w:t>
      </w:r>
      <w:r w:rsidR="00346D42">
        <w:rPr>
          <w:rFonts w:ascii="Noto Sans" w:hAnsi="Noto Sans" w:cs="Noto Sans"/>
          <w:sz w:val="24"/>
          <w:szCs w:val="24"/>
          <w:lang w:val="en-GB"/>
        </w:rPr>
        <w:t>consider including</w:t>
      </w:r>
      <w:r w:rsidR="00346D42" w:rsidRPr="00B07BAD">
        <w:rPr>
          <w:rFonts w:ascii="Noto Sans" w:hAnsi="Noto Sans" w:cs="Noto Sans"/>
          <w:sz w:val="24"/>
          <w:szCs w:val="24"/>
          <w:lang w:val="en-GB"/>
        </w:rPr>
        <w:t xml:space="preserve"> the following </w:t>
      </w:r>
      <w:r w:rsidR="00346D42">
        <w:rPr>
          <w:rFonts w:ascii="Noto Sans" w:hAnsi="Noto Sans" w:cs="Noto Sans"/>
          <w:sz w:val="24"/>
          <w:szCs w:val="24"/>
          <w:lang w:val="en-GB"/>
        </w:rPr>
        <w:t xml:space="preserve">(non-exhaustive) </w:t>
      </w:r>
      <w:r w:rsidR="00346D42" w:rsidRPr="00B07BAD">
        <w:rPr>
          <w:rFonts w:ascii="Noto Sans" w:hAnsi="Noto Sans" w:cs="Noto Sans"/>
          <w:sz w:val="24"/>
          <w:szCs w:val="24"/>
          <w:lang w:val="en-GB"/>
        </w:rPr>
        <w:t xml:space="preserve">components in their </w:t>
      </w:r>
      <w:proofErr w:type="spellStart"/>
      <w:r w:rsidR="00346D42" w:rsidRPr="00B07BAD"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 w:rsidR="00346D42" w:rsidRPr="00B07BAD">
        <w:rPr>
          <w:rFonts w:ascii="Noto Sans" w:hAnsi="Noto Sans" w:cs="Noto Sans"/>
          <w:sz w:val="24"/>
          <w:szCs w:val="24"/>
          <w:lang w:val="en-GB"/>
        </w:rPr>
        <w:t xml:space="preserve"> strategies or operational frameworks:</w:t>
      </w:r>
    </w:p>
    <w:p w14:paraId="1555F4F3" w14:textId="77777777" w:rsidR="00346D42" w:rsidRPr="00B07BAD" w:rsidRDefault="00346D42" w:rsidP="00346D42">
      <w:pPr>
        <w:pStyle w:val="ListParagraph"/>
        <w:numPr>
          <w:ilvl w:val="0"/>
          <w:numId w:val="4"/>
        </w:num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 xml:space="preserve">Organisational </w:t>
      </w:r>
      <w:proofErr w:type="spellStart"/>
      <w:r w:rsidRPr="00B07BAD"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 w:rsidRPr="00B07BAD">
        <w:rPr>
          <w:rFonts w:ascii="Noto Sans" w:hAnsi="Noto Sans" w:cs="Noto Sans"/>
          <w:sz w:val="24"/>
          <w:szCs w:val="24"/>
          <w:lang w:val="en-GB"/>
        </w:rPr>
        <w:t xml:space="preserve"> Vision</w:t>
      </w:r>
      <w:r>
        <w:rPr>
          <w:rFonts w:ascii="Noto Sans" w:hAnsi="Noto Sans" w:cs="Noto Sans"/>
          <w:sz w:val="24"/>
          <w:szCs w:val="24"/>
          <w:lang w:val="en-GB"/>
        </w:rPr>
        <w:t xml:space="preserve"> and Objective (aligned with organisational mission)</w:t>
      </w:r>
    </w:p>
    <w:p w14:paraId="1DA2BFF5" w14:textId="77777777" w:rsidR="00346D42" w:rsidRPr="00B07BAD" w:rsidRDefault="00346D42" w:rsidP="00346D42">
      <w:pPr>
        <w:pStyle w:val="ListParagraph"/>
        <w:numPr>
          <w:ilvl w:val="0"/>
          <w:numId w:val="4"/>
        </w:num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>Scope of Application</w:t>
      </w:r>
      <w:r>
        <w:rPr>
          <w:rFonts w:ascii="Noto Sans" w:hAnsi="Noto Sans" w:cs="Noto Sans"/>
          <w:sz w:val="24"/>
          <w:szCs w:val="24"/>
          <w:lang w:val="en-GB"/>
        </w:rPr>
        <w:t xml:space="preserve"> (administration, finance, procurement, implementation, management, field and HQ)</w:t>
      </w:r>
    </w:p>
    <w:p w14:paraId="07AADDE5" w14:textId="77777777" w:rsidR="00346D42" w:rsidRPr="00B07BAD" w:rsidRDefault="00346D42" w:rsidP="00346D42">
      <w:pPr>
        <w:pStyle w:val="ListParagraph"/>
        <w:numPr>
          <w:ilvl w:val="0"/>
          <w:numId w:val="4"/>
        </w:num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>Principles (e.g. proportionality, local ownership, sustainability)</w:t>
      </w:r>
    </w:p>
    <w:p w14:paraId="410F3D09" w14:textId="77777777" w:rsidR="00346D42" w:rsidRPr="00B07BAD" w:rsidRDefault="00346D42" w:rsidP="00346D42">
      <w:pPr>
        <w:pStyle w:val="ListParagraph"/>
        <w:numPr>
          <w:ilvl w:val="0"/>
          <w:numId w:val="4"/>
        </w:num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 xml:space="preserve">Processes for </w:t>
      </w:r>
      <w:proofErr w:type="spellStart"/>
      <w:r w:rsidRPr="00B07BAD"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 w:rsidRPr="00B07BAD">
        <w:rPr>
          <w:rFonts w:ascii="Noto Sans" w:hAnsi="Noto Sans" w:cs="Noto Sans"/>
          <w:sz w:val="24"/>
          <w:szCs w:val="24"/>
          <w:lang w:val="en-GB"/>
        </w:rPr>
        <w:t xml:space="preserve"> Decision-making</w:t>
      </w:r>
      <w:r>
        <w:rPr>
          <w:rFonts w:ascii="Noto Sans" w:hAnsi="Noto Sans" w:cs="Noto Sans"/>
          <w:sz w:val="24"/>
          <w:szCs w:val="24"/>
          <w:lang w:val="en-GB"/>
        </w:rPr>
        <w:t xml:space="preserve"> (examples and safeguards)</w:t>
      </w:r>
    </w:p>
    <w:p w14:paraId="00A54782" w14:textId="77777777" w:rsidR="00346D42" w:rsidRPr="00B07BAD" w:rsidRDefault="00346D42" w:rsidP="00346D42">
      <w:pPr>
        <w:pStyle w:val="ListParagraph"/>
        <w:numPr>
          <w:ilvl w:val="0"/>
          <w:numId w:val="4"/>
        </w:num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>Indicators and Methods (qualitative and quantitative</w:t>
      </w:r>
      <w:r>
        <w:rPr>
          <w:rFonts w:ascii="Noto Sans" w:hAnsi="Noto Sans" w:cs="Noto Sans"/>
          <w:sz w:val="24"/>
          <w:szCs w:val="24"/>
          <w:lang w:val="en-GB"/>
        </w:rPr>
        <w:t xml:space="preserve"> at field and HQ levels</w:t>
      </w:r>
      <w:r w:rsidRPr="00B07BAD">
        <w:rPr>
          <w:rFonts w:ascii="Noto Sans" w:hAnsi="Noto Sans" w:cs="Noto Sans"/>
          <w:sz w:val="24"/>
          <w:szCs w:val="24"/>
          <w:lang w:val="en-GB"/>
        </w:rPr>
        <w:t>)</w:t>
      </w:r>
    </w:p>
    <w:p w14:paraId="5FB4F368" w14:textId="0798F8A8" w:rsidR="00346D42" w:rsidRPr="00B07BAD" w:rsidRDefault="00346D42" w:rsidP="00346D42">
      <w:pPr>
        <w:pStyle w:val="ListParagraph"/>
        <w:numPr>
          <w:ilvl w:val="0"/>
          <w:numId w:val="4"/>
        </w:num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>Integration of ESG Factors</w:t>
      </w:r>
      <w:r>
        <w:rPr>
          <w:rFonts w:ascii="Noto Sans" w:hAnsi="Noto Sans" w:cs="Noto Sans"/>
          <w:sz w:val="24"/>
          <w:szCs w:val="24"/>
          <w:lang w:val="en-GB"/>
        </w:rPr>
        <w:t xml:space="preserve"> (</w:t>
      </w:r>
      <w:r w:rsidRPr="00354516">
        <w:rPr>
          <w:rFonts w:ascii="Noto Sans" w:hAnsi="Noto Sans" w:cs="Noto Sans"/>
          <w:sz w:val="24"/>
          <w:szCs w:val="24"/>
          <w:lang w:val="en-GB"/>
        </w:rPr>
        <w:t>environmental impact, social equity, and governance structures</w:t>
      </w:r>
      <w:r>
        <w:rPr>
          <w:rFonts w:ascii="Noto Sans" w:hAnsi="Noto Sans" w:cs="Noto Sans"/>
          <w:sz w:val="24"/>
          <w:szCs w:val="24"/>
          <w:lang w:val="en-GB"/>
        </w:rPr>
        <w:t>)</w:t>
      </w:r>
    </w:p>
    <w:p w14:paraId="3BEACAED" w14:textId="77777777" w:rsidR="00346D42" w:rsidRPr="00B07BAD" w:rsidRDefault="00346D42" w:rsidP="00346D42">
      <w:pPr>
        <w:pStyle w:val="ListParagraph"/>
        <w:numPr>
          <w:ilvl w:val="0"/>
          <w:numId w:val="4"/>
        </w:num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>Learning &amp; Accountability</w:t>
      </w:r>
    </w:p>
    <w:p w14:paraId="3977CBDA" w14:textId="77777777" w:rsidR="00346D42" w:rsidRPr="00354516" w:rsidRDefault="00346D42" w:rsidP="00346D42">
      <w:pPr>
        <w:pStyle w:val="Heading1"/>
        <w:rPr>
          <w:rFonts w:ascii="Noto Sans" w:hAnsi="Noto Sans" w:cs="Noto Sans"/>
          <w:sz w:val="32"/>
          <w:szCs w:val="24"/>
          <w:lang w:val="en-GB"/>
        </w:rPr>
      </w:pPr>
      <w:r w:rsidRPr="00354516">
        <w:rPr>
          <w:rFonts w:ascii="Noto Sans" w:hAnsi="Noto Sans" w:cs="Noto Sans"/>
          <w:sz w:val="32"/>
          <w:szCs w:val="24"/>
          <w:lang w:val="en-GB"/>
        </w:rPr>
        <w:lastRenderedPageBreak/>
        <w:t xml:space="preserve">4. Integrating ESG into </w:t>
      </w:r>
      <w:proofErr w:type="spellStart"/>
      <w:r w:rsidRPr="00354516">
        <w:rPr>
          <w:rFonts w:ascii="Noto Sans" w:hAnsi="Noto Sans" w:cs="Noto Sans"/>
          <w:sz w:val="32"/>
          <w:szCs w:val="24"/>
          <w:lang w:val="en-GB"/>
        </w:rPr>
        <w:t>VfM</w:t>
      </w:r>
      <w:proofErr w:type="spellEnd"/>
      <w:r w:rsidRPr="00354516">
        <w:rPr>
          <w:rFonts w:ascii="Noto Sans" w:hAnsi="Noto Sans" w:cs="Noto Sans"/>
          <w:sz w:val="32"/>
          <w:szCs w:val="24"/>
          <w:lang w:val="en-GB"/>
        </w:rPr>
        <w:t xml:space="preserve"> </w:t>
      </w:r>
      <w:r>
        <w:rPr>
          <w:rFonts w:ascii="Noto Sans" w:hAnsi="Noto Sans" w:cs="Noto Sans"/>
          <w:sz w:val="32"/>
          <w:szCs w:val="24"/>
          <w:lang w:val="en-GB"/>
        </w:rPr>
        <w:t>t</w:t>
      </w:r>
      <w:r w:rsidRPr="00354516">
        <w:rPr>
          <w:rFonts w:ascii="Noto Sans" w:hAnsi="Noto Sans" w:cs="Noto Sans"/>
          <w:sz w:val="32"/>
          <w:szCs w:val="24"/>
          <w:lang w:val="en-GB"/>
        </w:rPr>
        <w:t>hinking</w:t>
      </w:r>
    </w:p>
    <w:p w14:paraId="43D4374C" w14:textId="67ECB82C" w:rsidR="00346D42" w:rsidRPr="00B07BAD" w:rsidRDefault="00346D42" w:rsidP="00346D42">
      <w:p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 xml:space="preserve">In line with increasing partner interest, </w:t>
      </w:r>
      <w:proofErr w:type="spellStart"/>
      <w:r w:rsidRPr="00B07BAD"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 w:rsidRPr="00B07BAD">
        <w:rPr>
          <w:rFonts w:ascii="Noto Sans" w:hAnsi="Noto Sans" w:cs="Noto Sans"/>
          <w:sz w:val="24"/>
          <w:szCs w:val="24"/>
          <w:lang w:val="en-GB"/>
        </w:rPr>
        <w:t xml:space="preserve"> strategies should</w:t>
      </w:r>
      <w:r w:rsidR="00DF1BD5">
        <w:rPr>
          <w:rFonts w:ascii="Noto Sans" w:hAnsi="Noto Sans" w:cs="Noto Sans"/>
          <w:sz w:val="24"/>
          <w:szCs w:val="24"/>
          <w:lang w:val="en-GB"/>
        </w:rPr>
        <w:t>,</w:t>
      </w:r>
      <w:r w:rsidRPr="00B07BAD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="006430CF">
        <w:rPr>
          <w:rFonts w:ascii="Noto Sans" w:hAnsi="Noto Sans" w:cs="Noto Sans"/>
          <w:sz w:val="24"/>
          <w:szCs w:val="24"/>
          <w:lang w:val="en-GB"/>
        </w:rPr>
        <w:t>where relevant</w:t>
      </w:r>
      <w:r w:rsidR="00DF1BD5">
        <w:rPr>
          <w:rFonts w:ascii="Noto Sans" w:hAnsi="Noto Sans" w:cs="Noto Sans"/>
          <w:sz w:val="24"/>
          <w:szCs w:val="24"/>
          <w:lang w:val="en-GB"/>
        </w:rPr>
        <w:t>,</w:t>
      </w:r>
      <w:r w:rsidR="006430CF"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B07BAD">
        <w:rPr>
          <w:rFonts w:ascii="Noto Sans" w:hAnsi="Noto Sans" w:cs="Noto Sans"/>
          <w:sz w:val="24"/>
          <w:szCs w:val="24"/>
          <w:lang w:val="en-GB"/>
        </w:rPr>
        <w:t>reflect Environmental, Social, and Governance (ESG) factors:</w:t>
      </w:r>
    </w:p>
    <w:p w14:paraId="3F5A34ED" w14:textId="77777777" w:rsidR="00346D42" w:rsidRPr="00B07BAD" w:rsidRDefault="00346D42" w:rsidP="00346D42">
      <w:pPr>
        <w:pStyle w:val="ListParagraph"/>
        <w:numPr>
          <w:ilvl w:val="0"/>
          <w:numId w:val="1"/>
        </w:numPr>
        <w:rPr>
          <w:rFonts w:ascii="Noto Sans" w:hAnsi="Noto Sans" w:cs="Noto Sans"/>
          <w:sz w:val="24"/>
          <w:szCs w:val="24"/>
          <w:lang w:val="en-GB"/>
        </w:rPr>
      </w:pPr>
      <w:r w:rsidRPr="000A4263">
        <w:rPr>
          <w:rFonts w:ascii="Noto Sans" w:hAnsi="Noto Sans" w:cs="Noto Sans"/>
          <w:b/>
          <w:bCs/>
          <w:sz w:val="24"/>
          <w:szCs w:val="24"/>
          <w:lang w:val="en-GB"/>
        </w:rPr>
        <w:t>Environmental:</w:t>
      </w:r>
      <w:r w:rsidRPr="00B07BAD">
        <w:rPr>
          <w:rFonts w:ascii="Noto Sans" w:hAnsi="Noto Sans" w:cs="Noto Sans"/>
          <w:sz w:val="24"/>
          <w:szCs w:val="24"/>
          <w:lang w:val="en-GB"/>
        </w:rPr>
        <w:t xml:space="preserve"> Promote climate resilience, reduce carbon footprints, and apply environmental screening.</w:t>
      </w:r>
    </w:p>
    <w:p w14:paraId="02AD4B88" w14:textId="77777777" w:rsidR="00346D42" w:rsidRPr="00B07BAD" w:rsidRDefault="00346D42" w:rsidP="00346D42">
      <w:pPr>
        <w:pStyle w:val="ListParagraph"/>
        <w:numPr>
          <w:ilvl w:val="0"/>
          <w:numId w:val="1"/>
        </w:numPr>
        <w:rPr>
          <w:rFonts w:ascii="Noto Sans" w:hAnsi="Noto Sans" w:cs="Noto Sans"/>
          <w:sz w:val="24"/>
          <w:szCs w:val="24"/>
          <w:lang w:val="en-GB"/>
        </w:rPr>
      </w:pPr>
      <w:r w:rsidRPr="000A4263">
        <w:rPr>
          <w:rFonts w:ascii="Noto Sans" w:hAnsi="Noto Sans" w:cs="Noto Sans"/>
          <w:b/>
          <w:bCs/>
          <w:sz w:val="24"/>
          <w:szCs w:val="24"/>
          <w:lang w:val="en-GB"/>
        </w:rPr>
        <w:t>Social:</w:t>
      </w:r>
      <w:r w:rsidRPr="00B07BAD">
        <w:rPr>
          <w:rFonts w:ascii="Noto Sans" w:hAnsi="Noto Sans" w:cs="Noto Sans"/>
          <w:sz w:val="24"/>
          <w:szCs w:val="24"/>
          <w:lang w:val="en-GB"/>
        </w:rPr>
        <w:t xml:space="preserve"> Promote participation, gender equality, and inclusion.</w:t>
      </w:r>
    </w:p>
    <w:p w14:paraId="4D37554E" w14:textId="77777777" w:rsidR="00346D42" w:rsidRPr="00B07BAD" w:rsidRDefault="00346D42" w:rsidP="00346D42">
      <w:pPr>
        <w:pStyle w:val="ListParagraph"/>
        <w:numPr>
          <w:ilvl w:val="0"/>
          <w:numId w:val="1"/>
        </w:numPr>
        <w:rPr>
          <w:rFonts w:ascii="Noto Sans" w:hAnsi="Noto Sans" w:cs="Noto Sans"/>
          <w:sz w:val="24"/>
          <w:szCs w:val="24"/>
          <w:lang w:val="en-GB"/>
        </w:rPr>
      </w:pPr>
      <w:r w:rsidRPr="000A4263">
        <w:rPr>
          <w:rFonts w:ascii="Noto Sans" w:hAnsi="Noto Sans" w:cs="Noto Sans"/>
          <w:b/>
          <w:bCs/>
          <w:sz w:val="24"/>
          <w:szCs w:val="24"/>
          <w:lang w:val="en-GB"/>
        </w:rPr>
        <w:t>Governance:</w:t>
      </w:r>
      <w:r w:rsidRPr="00B07BAD">
        <w:rPr>
          <w:rFonts w:ascii="Noto Sans" w:hAnsi="Noto Sans" w:cs="Noto Sans"/>
          <w:sz w:val="24"/>
          <w:szCs w:val="24"/>
          <w:lang w:val="en-GB"/>
        </w:rPr>
        <w:t xml:space="preserve"> Ensure ethical practices, transparency, and accountability.</w:t>
      </w:r>
    </w:p>
    <w:p w14:paraId="5ED07451" w14:textId="56D94F6F" w:rsidR="00346D42" w:rsidRPr="00B07BAD" w:rsidRDefault="00C31C46" w:rsidP="00346D42">
      <w:p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The organisations are not required to provide any ordinary ESG reporting as this is not applicable to CSOs. Nevertheless, t</w:t>
      </w:r>
      <w:r w:rsidR="00346D42" w:rsidRPr="00B07BAD">
        <w:rPr>
          <w:rFonts w:ascii="Noto Sans" w:hAnsi="Noto Sans" w:cs="Noto Sans"/>
          <w:sz w:val="24"/>
          <w:szCs w:val="24"/>
          <w:lang w:val="en-GB"/>
        </w:rPr>
        <w:t xml:space="preserve">he </w:t>
      </w:r>
      <w:r>
        <w:rPr>
          <w:rFonts w:ascii="Noto Sans" w:hAnsi="Noto Sans" w:cs="Noto Sans"/>
          <w:sz w:val="24"/>
          <w:szCs w:val="24"/>
          <w:lang w:val="en-GB"/>
        </w:rPr>
        <w:t>organisations</w:t>
      </w:r>
      <w:r w:rsidR="00346D42" w:rsidRPr="00B07BAD">
        <w:rPr>
          <w:rFonts w:ascii="Noto Sans" w:hAnsi="Noto Sans" w:cs="Noto Sans"/>
          <w:sz w:val="24"/>
          <w:szCs w:val="24"/>
          <w:lang w:val="en-GB"/>
        </w:rPr>
        <w:t xml:space="preserve"> may find the European Sustainability Reporting Standards (ESRS) useful for </w:t>
      </w:r>
      <w:r>
        <w:rPr>
          <w:rFonts w:ascii="Noto Sans" w:hAnsi="Noto Sans" w:cs="Noto Sans"/>
          <w:sz w:val="24"/>
          <w:szCs w:val="24"/>
          <w:lang w:val="en-GB"/>
        </w:rPr>
        <w:t xml:space="preserve">inspiration and </w:t>
      </w:r>
      <w:r w:rsidR="00346D42" w:rsidRPr="00B07BAD">
        <w:rPr>
          <w:rFonts w:ascii="Noto Sans" w:hAnsi="Noto Sans" w:cs="Noto Sans"/>
          <w:sz w:val="24"/>
          <w:szCs w:val="24"/>
          <w:lang w:val="en-GB"/>
        </w:rPr>
        <w:t>voluntary alignment</w:t>
      </w:r>
      <w:r w:rsidR="00346D42">
        <w:rPr>
          <w:rFonts w:ascii="Noto Sans" w:hAnsi="Noto Sans" w:cs="Noto Sans"/>
          <w:sz w:val="24"/>
          <w:szCs w:val="24"/>
          <w:lang w:val="en-GB"/>
        </w:rPr>
        <w:t>.</w:t>
      </w:r>
    </w:p>
    <w:p w14:paraId="7E0B363E" w14:textId="77777777" w:rsidR="00346D42" w:rsidRPr="00354516" w:rsidRDefault="00346D42" w:rsidP="00346D42">
      <w:pPr>
        <w:pStyle w:val="Heading1"/>
        <w:rPr>
          <w:rFonts w:ascii="Noto Sans" w:hAnsi="Noto Sans" w:cs="Noto Sans"/>
          <w:sz w:val="32"/>
          <w:szCs w:val="24"/>
          <w:lang w:val="en-GB"/>
        </w:rPr>
      </w:pPr>
      <w:r w:rsidRPr="00354516">
        <w:rPr>
          <w:rFonts w:ascii="Noto Sans" w:hAnsi="Noto Sans" w:cs="Noto Sans"/>
          <w:sz w:val="32"/>
          <w:szCs w:val="24"/>
          <w:lang w:val="en-GB"/>
        </w:rPr>
        <w:t xml:space="preserve">5. Suggested Indicators for </w:t>
      </w:r>
      <w:r>
        <w:rPr>
          <w:rFonts w:ascii="Noto Sans" w:hAnsi="Noto Sans" w:cs="Noto Sans"/>
          <w:sz w:val="32"/>
          <w:szCs w:val="24"/>
          <w:lang w:val="en-GB"/>
        </w:rPr>
        <w:t>m</w:t>
      </w:r>
      <w:r w:rsidRPr="00354516">
        <w:rPr>
          <w:rFonts w:ascii="Noto Sans" w:hAnsi="Noto Sans" w:cs="Noto Sans"/>
          <w:sz w:val="32"/>
          <w:szCs w:val="24"/>
          <w:lang w:val="en-GB"/>
        </w:rPr>
        <w:t xml:space="preserve">onitoring </w:t>
      </w:r>
      <w:proofErr w:type="spellStart"/>
      <w:r w:rsidRPr="00354516">
        <w:rPr>
          <w:rFonts w:ascii="Noto Sans" w:hAnsi="Noto Sans" w:cs="Noto Sans"/>
          <w:sz w:val="32"/>
          <w:szCs w:val="24"/>
          <w:lang w:val="en-GB"/>
        </w:rPr>
        <w:t>VfM</w:t>
      </w:r>
      <w:proofErr w:type="spellEnd"/>
      <w:r w:rsidRPr="00354516">
        <w:rPr>
          <w:rFonts w:ascii="Noto Sans" w:hAnsi="Noto Sans" w:cs="Noto Sans"/>
          <w:sz w:val="32"/>
          <w:szCs w:val="24"/>
          <w:lang w:val="en-GB"/>
        </w:rPr>
        <w:t xml:space="preserve"> </w:t>
      </w:r>
      <w:r>
        <w:rPr>
          <w:rFonts w:ascii="Noto Sans" w:hAnsi="Noto Sans" w:cs="Noto Sans"/>
          <w:sz w:val="32"/>
          <w:szCs w:val="24"/>
          <w:lang w:val="en-GB"/>
        </w:rPr>
        <w:t>p</w:t>
      </w:r>
      <w:r w:rsidRPr="00354516">
        <w:rPr>
          <w:rFonts w:ascii="Noto Sans" w:hAnsi="Noto Sans" w:cs="Noto Sans"/>
          <w:sz w:val="32"/>
          <w:szCs w:val="24"/>
          <w:lang w:val="en-GB"/>
        </w:rPr>
        <w:t>rogress</w:t>
      </w:r>
    </w:p>
    <w:p w14:paraId="0F2CDB2B" w14:textId="5D0E1B57" w:rsidR="00346D42" w:rsidRPr="00B07BAD" w:rsidRDefault="00346D42" w:rsidP="00346D42">
      <w:p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 xml:space="preserve">Rather than standardizing indicators, </w:t>
      </w:r>
      <w:r>
        <w:rPr>
          <w:rFonts w:ascii="Noto Sans" w:hAnsi="Noto Sans" w:cs="Noto Sans"/>
          <w:sz w:val="24"/>
          <w:szCs w:val="24"/>
          <w:lang w:val="en-GB"/>
        </w:rPr>
        <w:t xml:space="preserve">the MFA </w:t>
      </w:r>
      <w:r w:rsidRPr="00B07BAD">
        <w:rPr>
          <w:rFonts w:ascii="Noto Sans" w:hAnsi="Noto Sans" w:cs="Noto Sans"/>
          <w:sz w:val="24"/>
          <w:szCs w:val="24"/>
          <w:lang w:val="en-GB"/>
        </w:rPr>
        <w:t>encourages flexible, fit-for-purpose indicators reflecting progress over time.</w:t>
      </w:r>
      <w:r>
        <w:rPr>
          <w:rFonts w:ascii="Noto Sans" w:hAnsi="Noto Sans" w:cs="Noto Sans"/>
          <w:sz w:val="24"/>
          <w:szCs w:val="24"/>
          <w:lang w:val="en-GB"/>
        </w:rPr>
        <w:t xml:space="preserve"> The indicators below may function as inspiration. The Organisation is encouraged to identify/develop a limited number of indicators to follow throughout the partnership period </w:t>
      </w:r>
      <w:proofErr w:type="gramStart"/>
      <w:r>
        <w:rPr>
          <w:rFonts w:ascii="Noto Sans" w:hAnsi="Noto Sans" w:cs="Noto Sans"/>
          <w:sz w:val="24"/>
          <w:szCs w:val="24"/>
          <w:lang w:val="en-GB"/>
        </w:rPr>
        <w:t>in order to</w:t>
      </w:r>
      <w:proofErr w:type="gramEnd"/>
      <w:r>
        <w:rPr>
          <w:rFonts w:ascii="Noto Sans" w:hAnsi="Noto Sans" w:cs="Noto Sans"/>
          <w:sz w:val="24"/>
          <w:szCs w:val="24"/>
          <w:lang w:val="en-GB"/>
        </w:rPr>
        <w:t xml:space="preserve"> monitor progress on strengthening </w:t>
      </w:r>
      <w:proofErr w:type="spellStart"/>
      <w:r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>
        <w:rPr>
          <w:rFonts w:ascii="Noto Sans" w:hAnsi="Noto Sans" w:cs="Noto Sans"/>
          <w:sz w:val="24"/>
          <w:szCs w:val="24"/>
          <w:lang w:val="en-GB"/>
        </w:rPr>
        <w:t>.</w:t>
      </w:r>
      <w:r w:rsidR="00D92AF1">
        <w:rPr>
          <w:rFonts w:ascii="Noto Sans" w:hAnsi="Noto Sans" w:cs="Noto Sans"/>
          <w:sz w:val="24"/>
          <w:szCs w:val="24"/>
          <w:lang w:val="en-GB"/>
        </w:rPr>
        <w:t xml:space="preserve"> The following examples may provide inspiration for the choice of indicators: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47"/>
        <w:gridCol w:w="7484"/>
      </w:tblGrid>
      <w:tr w:rsidR="00346D42" w:rsidRPr="00B07BAD" w14:paraId="48C53650" w14:textId="77777777" w:rsidTr="00244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6E0B0CD" w14:textId="77777777" w:rsidR="00346D42" w:rsidRPr="00B07BAD" w:rsidRDefault="00346D42" w:rsidP="00237BD9">
            <w:pPr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Subject examples</w:t>
            </w:r>
          </w:p>
        </w:tc>
        <w:tc>
          <w:tcPr>
            <w:tcW w:w="7484" w:type="dxa"/>
          </w:tcPr>
          <w:p w14:paraId="34EB7A72" w14:textId="77777777" w:rsidR="00346D42" w:rsidRPr="00B07BAD" w:rsidRDefault="00346D42" w:rsidP="00237B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 w:rsidRPr="00B07BAD">
              <w:rPr>
                <w:rFonts w:ascii="Noto Sans" w:hAnsi="Noto Sans" w:cs="Noto Sans"/>
                <w:sz w:val="24"/>
                <w:szCs w:val="24"/>
                <w:lang w:val="en-GB"/>
              </w:rPr>
              <w:t xml:space="preserve">Illustrative </w:t>
            </w: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i</w:t>
            </w:r>
            <w:r w:rsidRPr="00B07BAD">
              <w:rPr>
                <w:rFonts w:ascii="Noto Sans" w:hAnsi="Noto Sans" w:cs="Noto Sans"/>
                <w:sz w:val="24"/>
                <w:szCs w:val="24"/>
                <w:lang w:val="en-GB"/>
              </w:rPr>
              <w:t>ndicator</w:t>
            </w: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s</w:t>
            </w:r>
          </w:p>
        </w:tc>
      </w:tr>
      <w:tr w:rsidR="00346D42" w:rsidRPr="00B07BAD" w14:paraId="500F8C44" w14:textId="77777777" w:rsidTr="00244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0C17F2A" w14:textId="77777777" w:rsidR="00346D42" w:rsidRPr="00B07BAD" w:rsidRDefault="00346D42" w:rsidP="00346D42">
            <w:pPr>
              <w:spacing w:after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 w:rsidRPr="00B07BAD">
              <w:rPr>
                <w:rFonts w:ascii="Noto Sans" w:hAnsi="Noto Sans" w:cs="Noto Sans"/>
                <w:sz w:val="24"/>
                <w:szCs w:val="24"/>
                <w:lang w:val="en-GB"/>
              </w:rPr>
              <w:t>Economy</w:t>
            </w:r>
          </w:p>
        </w:tc>
        <w:tc>
          <w:tcPr>
            <w:tcW w:w="7484" w:type="dxa"/>
          </w:tcPr>
          <w:p w14:paraId="2A3861E0" w14:textId="77777777" w:rsidR="00346D42" w:rsidRPr="00B07BAD" w:rsidRDefault="00346D42" w:rsidP="00346D4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 w:rsidRPr="00B07BAD">
              <w:rPr>
                <w:rFonts w:ascii="Noto Sans" w:hAnsi="Noto Sans" w:cs="Noto Sans"/>
                <w:sz w:val="24"/>
                <w:szCs w:val="24"/>
                <w:lang w:val="en-GB"/>
              </w:rPr>
              <w:t>% of procurement contracts awarded competitively; local sourcing rate</w:t>
            </w:r>
          </w:p>
        </w:tc>
      </w:tr>
      <w:tr w:rsidR="00346D42" w:rsidRPr="00B07BAD" w14:paraId="0D0AA10C" w14:textId="77777777" w:rsidTr="002444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F84E7E3" w14:textId="77777777" w:rsidR="00346D42" w:rsidRPr="00B07BAD" w:rsidRDefault="00346D42" w:rsidP="00346D42">
            <w:pPr>
              <w:spacing w:after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 w:rsidRPr="00B07BAD">
              <w:rPr>
                <w:rFonts w:ascii="Noto Sans" w:hAnsi="Noto Sans" w:cs="Noto Sans"/>
                <w:sz w:val="24"/>
                <w:szCs w:val="24"/>
                <w:lang w:val="en-GB"/>
              </w:rPr>
              <w:t>Efficiency</w:t>
            </w:r>
          </w:p>
        </w:tc>
        <w:tc>
          <w:tcPr>
            <w:tcW w:w="7484" w:type="dxa"/>
          </w:tcPr>
          <w:p w14:paraId="28C0F1D8" w14:textId="77777777" w:rsidR="00346D42" w:rsidRPr="00B07BAD" w:rsidRDefault="00346D42" w:rsidP="00346D4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 w:rsidRPr="00B07BAD">
              <w:rPr>
                <w:rFonts w:ascii="Noto Sans" w:hAnsi="Noto Sans" w:cs="Noto Sans"/>
                <w:sz w:val="24"/>
                <w:szCs w:val="24"/>
                <w:lang w:val="en-GB"/>
              </w:rPr>
              <w:t>Admin-to-program cost ratio; delivery cost per beneficiary</w:t>
            </w: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 xml:space="preserve">, </w:t>
            </w:r>
            <w:r w:rsidRPr="00871351">
              <w:rPr>
                <w:rFonts w:ascii="Noto Sans" w:hAnsi="Noto Sans" w:cs="Noto Sans"/>
                <w:sz w:val="24"/>
                <w:szCs w:val="24"/>
                <w:lang w:val="en-GB"/>
              </w:rPr>
              <w:t xml:space="preserve">output/outcome –based budgets and reports </w:t>
            </w: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vs</w:t>
            </w:r>
            <w:r w:rsidRPr="00871351">
              <w:rPr>
                <w:rFonts w:ascii="Noto Sans" w:hAnsi="Noto Sans" w:cs="Noto Sans"/>
                <w:sz w:val="24"/>
                <w:szCs w:val="24"/>
                <w:lang w:val="en-GB"/>
              </w:rPr>
              <w:t xml:space="preserve"> achievements of results on output</w:t>
            </w: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/outcome</w:t>
            </w:r>
            <w:r w:rsidRPr="00871351">
              <w:rPr>
                <w:rFonts w:ascii="Noto Sans" w:hAnsi="Noto Sans" w:cs="Noto Sans"/>
                <w:sz w:val="24"/>
                <w:szCs w:val="24"/>
                <w:lang w:val="en-GB"/>
              </w:rPr>
              <w:t xml:space="preserve"> level</w:t>
            </w:r>
          </w:p>
        </w:tc>
      </w:tr>
      <w:tr w:rsidR="00346D42" w:rsidRPr="00B07BAD" w14:paraId="195E2C15" w14:textId="77777777" w:rsidTr="00244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BD0F7F6" w14:textId="77777777" w:rsidR="00346D42" w:rsidRPr="00B07BAD" w:rsidRDefault="00346D42" w:rsidP="00346D42">
            <w:pPr>
              <w:spacing w:after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 w:rsidRPr="00B07BAD">
              <w:rPr>
                <w:rFonts w:ascii="Noto Sans" w:hAnsi="Noto Sans" w:cs="Noto Sans"/>
                <w:sz w:val="24"/>
                <w:szCs w:val="24"/>
                <w:lang w:val="en-GB"/>
              </w:rPr>
              <w:t>Effectiveness</w:t>
            </w:r>
          </w:p>
        </w:tc>
        <w:tc>
          <w:tcPr>
            <w:tcW w:w="7484" w:type="dxa"/>
          </w:tcPr>
          <w:p w14:paraId="4AC597D2" w14:textId="77777777" w:rsidR="00346D42" w:rsidRPr="00B07BAD" w:rsidRDefault="00346D42" w:rsidP="00346D4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 w:rsidRPr="00B07BAD">
              <w:rPr>
                <w:rFonts w:ascii="Noto Sans" w:hAnsi="Noto Sans" w:cs="Noto Sans"/>
                <w:sz w:val="24"/>
                <w:szCs w:val="24"/>
                <w:lang w:val="en-GB"/>
              </w:rPr>
              <w:t>% of intended outcomes achieved; user</w:t>
            </w: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/beneficiary</w:t>
            </w:r>
            <w:r w:rsidRPr="00B07BAD">
              <w:rPr>
                <w:rFonts w:ascii="Noto Sans" w:hAnsi="Noto Sans" w:cs="Noto Sans"/>
                <w:sz w:val="24"/>
                <w:szCs w:val="24"/>
                <w:lang w:val="en-GB"/>
              </w:rPr>
              <w:t xml:space="preserve"> satisfaction levels</w:t>
            </w: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 xml:space="preserve">, results achievements and performance at sub partner level </w:t>
            </w:r>
          </w:p>
        </w:tc>
      </w:tr>
      <w:tr w:rsidR="00346D42" w:rsidRPr="00B07BAD" w14:paraId="784C8267" w14:textId="77777777" w:rsidTr="002444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CCDDE78" w14:textId="77777777" w:rsidR="00346D42" w:rsidRPr="00B07BAD" w:rsidRDefault="00346D42" w:rsidP="00346D42">
            <w:pPr>
              <w:spacing w:after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 w:rsidRPr="00B07BAD">
              <w:rPr>
                <w:rFonts w:ascii="Noto Sans" w:hAnsi="Noto Sans" w:cs="Noto Sans"/>
                <w:sz w:val="24"/>
                <w:szCs w:val="24"/>
                <w:lang w:val="en-GB"/>
              </w:rPr>
              <w:t>Equity</w:t>
            </w:r>
          </w:p>
        </w:tc>
        <w:tc>
          <w:tcPr>
            <w:tcW w:w="7484" w:type="dxa"/>
          </w:tcPr>
          <w:p w14:paraId="10DC8E51" w14:textId="519171B7" w:rsidR="00346D42" w:rsidRPr="00B07BAD" w:rsidRDefault="00346D42" w:rsidP="00346D4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 w:rsidRPr="00B07BAD">
              <w:rPr>
                <w:rFonts w:ascii="Noto Sans" w:hAnsi="Noto Sans" w:cs="Noto Sans"/>
                <w:sz w:val="24"/>
                <w:szCs w:val="24"/>
                <w:lang w:val="en-GB"/>
              </w:rPr>
              <w:t>% of assistance reaching the most in need</w:t>
            </w: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/ marginalised groups</w:t>
            </w:r>
            <w:r w:rsidRPr="00B07BAD">
              <w:rPr>
                <w:rFonts w:ascii="Noto Sans" w:hAnsi="Noto Sans" w:cs="Noto Sans"/>
                <w:sz w:val="24"/>
                <w:szCs w:val="24"/>
                <w:lang w:val="en-GB"/>
              </w:rPr>
              <w:t xml:space="preserve"> (e.g. female-headed households</w:t>
            </w: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 xml:space="preserve">/ </w:t>
            </w:r>
            <w:r w:rsidR="00B532D3">
              <w:rPr>
                <w:rFonts w:ascii="Noto Sans" w:hAnsi="Noto Sans" w:cs="Noto Sans"/>
                <w:sz w:val="24"/>
                <w:szCs w:val="24"/>
                <w:lang w:val="en-GB"/>
              </w:rPr>
              <w:t>people living with disabilities</w:t>
            </w:r>
            <w:r w:rsidRPr="00B07BAD">
              <w:rPr>
                <w:rFonts w:ascii="Noto Sans" w:hAnsi="Noto Sans" w:cs="Noto Sans"/>
                <w:sz w:val="24"/>
                <w:szCs w:val="24"/>
                <w:lang w:val="en-GB"/>
              </w:rPr>
              <w:t>)</w:t>
            </w:r>
          </w:p>
        </w:tc>
      </w:tr>
      <w:tr w:rsidR="00346D42" w:rsidRPr="00B07BAD" w14:paraId="2DB59E2E" w14:textId="77777777" w:rsidTr="00244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A33A67A" w14:textId="77777777" w:rsidR="00346D42" w:rsidRPr="00B07BAD" w:rsidRDefault="00346D42" w:rsidP="00346D42">
            <w:pPr>
              <w:spacing w:after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 w:rsidRPr="00B07BAD">
              <w:rPr>
                <w:rFonts w:ascii="Noto Sans" w:hAnsi="Noto Sans" w:cs="Noto Sans"/>
                <w:sz w:val="24"/>
                <w:szCs w:val="24"/>
                <w:lang w:val="en-GB"/>
              </w:rPr>
              <w:lastRenderedPageBreak/>
              <w:t>Environmental</w:t>
            </w:r>
          </w:p>
        </w:tc>
        <w:tc>
          <w:tcPr>
            <w:tcW w:w="7484" w:type="dxa"/>
          </w:tcPr>
          <w:p w14:paraId="1A864FF1" w14:textId="77777777" w:rsidR="00346D42" w:rsidRPr="00B07BAD" w:rsidRDefault="00346D42" w:rsidP="00346D4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 w:rsidRPr="00B07BAD">
              <w:rPr>
                <w:rFonts w:ascii="Noto Sans" w:hAnsi="Noto Sans" w:cs="Noto Sans"/>
                <w:sz w:val="24"/>
                <w:szCs w:val="24"/>
                <w:lang w:val="en-GB"/>
              </w:rPr>
              <w:t>% of projects with environmental risk mitigation plans</w:t>
            </w:r>
          </w:p>
        </w:tc>
      </w:tr>
      <w:tr w:rsidR="00346D42" w:rsidRPr="00B07BAD" w14:paraId="2EAC9E81" w14:textId="77777777" w:rsidTr="002444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B820515" w14:textId="77777777" w:rsidR="00346D42" w:rsidRPr="00B07BAD" w:rsidRDefault="00346D42" w:rsidP="00346D42">
            <w:pPr>
              <w:spacing w:after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 w:rsidRPr="00B07BAD">
              <w:rPr>
                <w:rFonts w:ascii="Noto Sans" w:hAnsi="Noto Sans" w:cs="Noto Sans"/>
                <w:sz w:val="24"/>
                <w:szCs w:val="24"/>
                <w:lang w:val="en-GB"/>
              </w:rPr>
              <w:t>Localization</w:t>
            </w:r>
          </w:p>
        </w:tc>
        <w:tc>
          <w:tcPr>
            <w:tcW w:w="7484" w:type="dxa"/>
          </w:tcPr>
          <w:p w14:paraId="3609BD36" w14:textId="77777777" w:rsidR="00346D42" w:rsidRPr="00B07BAD" w:rsidRDefault="00346D42" w:rsidP="00346D4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 w:rsidRPr="00B07BAD">
              <w:rPr>
                <w:rFonts w:ascii="Noto Sans" w:hAnsi="Noto Sans" w:cs="Noto Sans"/>
                <w:sz w:val="24"/>
                <w:szCs w:val="24"/>
                <w:lang w:val="en-GB"/>
              </w:rPr>
              <w:t>% of funds managed by local partners</w:t>
            </w:r>
          </w:p>
        </w:tc>
      </w:tr>
      <w:tr w:rsidR="00346D42" w:rsidRPr="00B07BAD" w14:paraId="1470E925" w14:textId="77777777" w:rsidTr="00244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F498532" w14:textId="77777777" w:rsidR="00346D42" w:rsidRPr="00B07BAD" w:rsidRDefault="00346D42" w:rsidP="00346D42">
            <w:pPr>
              <w:spacing w:after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Partnership approach</w:t>
            </w:r>
          </w:p>
        </w:tc>
        <w:tc>
          <w:tcPr>
            <w:tcW w:w="7484" w:type="dxa"/>
          </w:tcPr>
          <w:p w14:paraId="328789D6" w14:textId="77777777" w:rsidR="00346D42" w:rsidRDefault="00346D42" w:rsidP="00346D4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 xml:space="preserve">Increased length of sub-partner agreements and </w:t>
            </w:r>
          </w:p>
          <w:p w14:paraId="14BF92D6" w14:textId="77777777" w:rsidR="00346D42" w:rsidRPr="00B07BAD" w:rsidRDefault="00346D42" w:rsidP="00346D4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example of synergies established by the partnership approach.</w:t>
            </w:r>
          </w:p>
        </w:tc>
      </w:tr>
      <w:tr w:rsidR="00346D42" w:rsidRPr="00B07BAD" w14:paraId="3E916DDA" w14:textId="77777777" w:rsidTr="002444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AACFC45" w14:textId="77777777" w:rsidR="00346D42" w:rsidRPr="00B07BAD" w:rsidRDefault="00346D42" w:rsidP="00346D42">
            <w:pPr>
              <w:spacing w:after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 xml:space="preserve">Capacity building </w:t>
            </w:r>
          </w:p>
        </w:tc>
        <w:tc>
          <w:tcPr>
            <w:tcW w:w="7484" w:type="dxa"/>
          </w:tcPr>
          <w:p w14:paraId="6956B603" w14:textId="77777777" w:rsidR="00346D42" w:rsidRDefault="00346D42" w:rsidP="00346D4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 xml:space="preserve">% of local partners lifted to higher level of capacity </w:t>
            </w:r>
          </w:p>
        </w:tc>
      </w:tr>
      <w:tr w:rsidR="00346D42" w:rsidRPr="00B07BAD" w14:paraId="75587A27" w14:textId="77777777" w:rsidTr="00244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C301916" w14:textId="77777777" w:rsidR="00346D42" w:rsidRPr="00B07BAD" w:rsidRDefault="00346D42" w:rsidP="00346D42">
            <w:pPr>
              <w:spacing w:after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Knowledge sharing</w:t>
            </w:r>
          </w:p>
        </w:tc>
        <w:tc>
          <w:tcPr>
            <w:tcW w:w="7484" w:type="dxa"/>
          </w:tcPr>
          <w:p w14:paraId="0C3F597B" w14:textId="77777777" w:rsidR="00346D42" w:rsidRPr="00B07BAD" w:rsidRDefault="00346D42" w:rsidP="00346D4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Examples or % of partners supported on X Y Z capacity building efforts</w:t>
            </w:r>
          </w:p>
        </w:tc>
      </w:tr>
      <w:tr w:rsidR="00346D42" w:rsidRPr="00B07BAD" w14:paraId="64BCDF40" w14:textId="77777777" w:rsidTr="002444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E532C64" w14:textId="77777777" w:rsidR="00346D42" w:rsidRDefault="00346D42" w:rsidP="00346D42">
            <w:pPr>
              <w:spacing w:after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Staff retention and skills maintenance</w:t>
            </w:r>
          </w:p>
        </w:tc>
        <w:tc>
          <w:tcPr>
            <w:tcW w:w="7484" w:type="dxa"/>
          </w:tcPr>
          <w:p w14:paraId="37DAECD8" w14:textId="77777777" w:rsidR="00346D42" w:rsidRPr="00B07BAD" w:rsidRDefault="00346D42" w:rsidP="00346D4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% of staff rotating per year</w:t>
            </w:r>
          </w:p>
        </w:tc>
      </w:tr>
      <w:tr w:rsidR="00346D42" w:rsidRPr="00B07BAD" w14:paraId="5F14B02A" w14:textId="77777777" w:rsidTr="00244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CD90B6" w14:textId="77777777" w:rsidR="00346D42" w:rsidRDefault="00346D42" w:rsidP="00346D42">
            <w:pPr>
              <w:spacing w:after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Hiring processes</w:t>
            </w:r>
          </w:p>
        </w:tc>
        <w:tc>
          <w:tcPr>
            <w:tcW w:w="7484" w:type="dxa"/>
          </w:tcPr>
          <w:p w14:paraId="353576A0" w14:textId="77777777" w:rsidR="00346D42" w:rsidRDefault="00346D42" w:rsidP="00346D4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% of open application processes readvertised</w:t>
            </w:r>
          </w:p>
        </w:tc>
      </w:tr>
      <w:tr w:rsidR="00346D42" w:rsidRPr="00B07BAD" w14:paraId="500B288F" w14:textId="77777777" w:rsidTr="002444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7B72582" w14:textId="77777777" w:rsidR="00346D42" w:rsidRDefault="00346D42" w:rsidP="00346D42">
            <w:pPr>
              <w:spacing w:after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Procurement</w:t>
            </w:r>
          </w:p>
        </w:tc>
        <w:tc>
          <w:tcPr>
            <w:tcW w:w="7484" w:type="dxa"/>
          </w:tcPr>
          <w:p w14:paraId="0826B56F" w14:textId="77777777" w:rsidR="00346D42" w:rsidRPr="00B07BAD" w:rsidRDefault="00346D42" w:rsidP="00346D4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% of procurement processes considering environmental impact</w:t>
            </w:r>
          </w:p>
        </w:tc>
      </w:tr>
      <w:tr w:rsidR="00346D42" w:rsidRPr="00B07BAD" w14:paraId="04D215AA" w14:textId="77777777" w:rsidTr="00244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71FC97E" w14:textId="77777777" w:rsidR="00346D42" w:rsidRDefault="00346D42" w:rsidP="00346D42">
            <w:pPr>
              <w:spacing w:after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 xml:space="preserve">Adaptation </w:t>
            </w:r>
          </w:p>
        </w:tc>
        <w:tc>
          <w:tcPr>
            <w:tcW w:w="7484" w:type="dxa"/>
          </w:tcPr>
          <w:p w14:paraId="7981D4EA" w14:textId="77777777" w:rsidR="00346D42" w:rsidRDefault="00346D42" w:rsidP="00346D4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Examples of adaptive management, applying learning and adapting to changes in contexts</w:t>
            </w:r>
          </w:p>
        </w:tc>
      </w:tr>
      <w:tr w:rsidR="00346D42" w:rsidRPr="00B07BAD" w14:paraId="146C20C4" w14:textId="77777777" w:rsidTr="002444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A95C997" w14:textId="77777777" w:rsidR="00346D42" w:rsidRDefault="00346D42" w:rsidP="00346D42">
            <w:pPr>
              <w:spacing w:after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Cost-effectiveness</w:t>
            </w:r>
          </w:p>
        </w:tc>
        <w:tc>
          <w:tcPr>
            <w:tcW w:w="7484" w:type="dxa"/>
          </w:tcPr>
          <w:p w14:paraId="2F636D7D" w14:textId="77777777" w:rsidR="00346D42" w:rsidRDefault="00346D42" w:rsidP="00346D4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Case studies or data showing the impact on poverty reduction or welfare creation relative to the input provided.</w:t>
            </w:r>
          </w:p>
        </w:tc>
      </w:tr>
      <w:tr w:rsidR="00346D42" w:rsidRPr="00B07BAD" w14:paraId="0D83BE5B" w14:textId="77777777" w:rsidTr="00244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331B634" w14:textId="77777777" w:rsidR="00346D42" w:rsidRDefault="00346D42" w:rsidP="00346D42">
            <w:pPr>
              <w:spacing w:after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 xml:space="preserve">Value creation </w:t>
            </w:r>
          </w:p>
        </w:tc>
        <w:tc>
          <w:tcPr>
            <w:tcW w:w="7484" w:type="dxa"/>
          </w:tcPr>
          <w:p w14:paraId="7527A8CD" w14:textId="77777777" w:rsidR="00346D42" w:rsidRDefault="00346D42" w:rsidP="00346D4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4"/>
                <w:szCs w:val="24"/>
                <w:lang w:val="en-GB"/>
              </w:rPr>
            </w:pPr>
            <w:r>
              <w:rPr>
                <w:rFonts w:ascii="Noto Sans" w:hAnsi="Noto Sans" w:cs="Noto Sans"/>
                <w:sz w:val="24"/>
                <w:szCs w:val="24"/>
                <w:lang w:val="en-GB"/>
              </w:rPr>
              <w:t>Examples of the value added by the Danish organisation in the partnership e.g. in terms of quality and local leadership</w:t>
            </w:r>
          </w:p>
        </w:tc>
      </w:tr>
    </w:tbl>
    <w:p w14:paraId="4F86CE50" w14:textId="77777777" w:rsidR="00D92AF1" w:rsidRDefault="00D92AF1" w:rsidP="00346D42">
      <w:pPr>
        <w:rPr>
          <w:rFonts w:ascii="Noto Sans" w:hAnsi="Noto Sans" w:cs="Noto Sans"/>
          <w:sz w:val="24"/>
          <w:szCs w:val="24"/>
          <w:lang w:val="en-GB"/>
        </w:rPr>
      </w:pPr>
    </w:p>
    <w:p w14:paraId="122A6288" w14:textId="09063E0A" w:rsidR="00346D42" w:rsidRDefault="00346D42" w:rsidP="00346D42">
      <w:p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 xml:space="preserve">The </w:t>
      </w:r>
      <w:proofErr w:type="spellStart"/>
      <w:r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>
        <w:rPr>
          <w:rFonts w:ascii="Noto Sans" w:hAnsi="Noto Sans" w:cs="Noto Sans"/>
          <w:sz w:val="24"/>
          <w:szCs w:val="24"/>
          <w:lang w:val="en-GB"/>
        </w:rPr>
        <w:t xml:space="preserve"> strategy can be a ‘light document’ and shall be accessible to all staff for whom the strategy is relevant. It is suggested that the organisation adds some examples to illustrate the </w:t>
      </w:r>
      <w:proofErr w:type="spellStart"/>
      <w:r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>
        <w:rPr>
          <w:rFonts w:ascii="Noto Sans" w:hAnsi="Noto Sans" w:cs="Noto Sans"/>
          <w:sz w:val="24"/>
          <w:szCs w:val="24"/>
          <w:lang w:val="en-GB"/>
        </w:rPr>
        <w:t xml:space="preserve"> thinking and </w:t>
      </w:r>
      <w:proofErr w:type="spellStart"/>
      <w:r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>
        <w:rPr>
          <w:rFonts w:ascii="Noto Sans" w:hAnsi="Noto Sans" w:cs="Noto Sans"/>
          <w:sz w:val="24"/>
          <w:szCs w:val="24"/>
          <w:lang w:val="en-GB"/>
        </w:rPr>
        <w:t xml:space="preserve"> culture.</w:t>
      </w:r>
    </w:p>
    <w:p w14:paraId="7F12BB17" w14:textId="77777777" w:rsidR="00346D42" w:rsidRPr="00B07BAD" w:rsidRDefault="00346D42" w:rsidP="00346D42">
      <w:pPr>
        <w:rPr>
          <w:rFonts w:ascii="Noto Sans" w:hAnsi="Noto Sans" w:cs="Noto Sans"/>
          <w:b/>
          <w:bCs/>
          <w:sz w:val="24"/>
          <w:szCs w:val="24"/>
          <w:lang w:val="en-GB"/>
        </w:rPr>
      </w:pPr>
      <w:r w:rsidRPr="00B07BAD">
        <w:rPr>
          <w:rFonts w:ascii="Noto Sans" w:hAnsi="Noto Sans" w:cs="Noto Sans"/>
          <w:b/>
          <w:bCs/>
          <w:sz w:val="24"/>
          <w:szCs w:val="24"/>
          <w:lang w:val="en-GB"/>
        </w:rPr>
        <w:t>Example</w:t>
      </w:r>
      <w:r>
        <w:rPr>
          <w:rFonts w:ascii="Noto Sans" w:hAnsi="Noto Sans" w:cs="Noto Sans"/>
          <w:b/>
          <w:bCs/>
          <w:sz w:val="24"/>
          <w:szCs w:val="24"/>
          <w:lang w:val="en-GB"/>
        </w:rPr>
        <w:t>s</w:t>
      </w:r>
      <w:r w:rsidRPr="00B07BAD">
        <w:rPr>
          <w:rFonts w:ascii="Noto Sans" w:hAnsi="Noto Sans" w:cs="Noto Sans"/>
          <w:b/>
          <w:bCs/>
          <w:sz w:val="24"/>
          <w:szCs w:val="24"/>
          <w:lang w:val="en-GB"/>
        </w:rPr>
        <w:t>:</w:t>
      </w:r>
    </w:p>
    <w:p w14:paraId="0CA070B2" w14:textId="77777777" w:rsidR="00346D42" w:rsidRDefault="00346D42" w:rsidP="00346D42">
      <w:pPr>
        <w:rPr>
          <w:rFonts w:ascii="Noto Sans" w:hAnsi="Noto Sans" w:cs="Noto Sans"/>
          <w:sz w:val="24"/>
          <w:szCs w:val="24"/>
          <w:lang w:val="en-GB"/>
        </w:rPr>
      </w:pPr>
      <w:r w:rsidRPr="00B07BAD">
        <w:rPr>
          <w:rFonts w:ascii="Noto Sans" w:hAnsi="Noto Sans" w:cs="Noto Sans"/>
          <w:sz w:val="24"/>
          <w:szCs w:val="24"/>
          <w:lang w:val="en-GB"/>
        </w:rPr>
        <w:t xml:space="preserve">In humanitarian contexts, a shift </w:t>
      </w:r>
      <w:r>
        <w:rPr>
          <w:rFonts w:ascii="Noto Sans" w:hAnsi="Noto Sans" w:cs="Noto Sans"/>
          <w:sz w:val="24"/>
          <w:szCs w:val="24"/>
          <w:lang w:val="en-GB"/>
        </w:rPr>
        <w:t xml:space="preserve">from blanket status-based targeting (e.g. presence in a camp) </w:t>
      </w:r>
      <w:r w:rsidRPr="00B07BAD">
        <w:rPr>
          <w:rFonts w:ascii="Noto Sans" w:hAnsi="Noto Sans" w:cs="Noto Sans"/>
          <w:sz w:val="24"/>
          <w:szCs w:val="24"/>
          <w:lang w:val="en-GB"/>
        </w:rPr>
        <w:t>to vulnerability-based targeting (e.g. prioritizing female-headed households</w:t>
      </w:r>
      <w:r>
        <w:rPr>
          <w:rFonts w:ascii="Noto Sans" w:hAnsi="Noto Sans" w:cs="Noto Sans"/>
          <w:sz w:val="24"/>
          <w:szCs w:val="24"/>
          <w:lang w:val="en-GB"/>
        </w:rPr>
        <w:t xml:space="preserve"> or HH without employment</w:t>
      </w:r>
      <w:r w:rsidRPr="00B07BAD">
        <w:rPr>
          <w:rFonts w:ascii="Noto Sans" w:hAnsi="Noto Sans" w:cs="Noto Sans"/>
          <w:sz w:val="24"/>
          <w:szCs w:val="24"/>
          <w:lang w:val="en-GB"/>
        </w:rPr>
        <w:t xml:space="preserve">) </w:t>
      </w:r>
      <w:r>
        <w:rPr>
          <w:rFonts w:ascii="Noto Sans" w:hAnsi="Noto Sans" w:cs="Noto Sans"/>
          <w:sz w:val="24"/>
          <w:szCs w:val="24"/>
          <w:lang w:val="en-GB"/>
        </w:rPr>
        <w:t xml:space="preserve">for </w:t>
      </w:r>
      <w:r w:rsidRPr="00B07BAD">
        <w:rPr>
          <w:rFonts w:ascii="Noto Sans" w:hAnsi="Noto Sans" w:cs="Noto Sans"/>
          <w:sz w:val="24"/>
          <w:szCs w:val="24"/>
          <w:lang w:val="en-GB"/>
        </w:rPr>
        <w:t>improved cost-efficiency.</w:t>
      </w:r>
    </w:p>
    <w:p w14:paraId="02102294" w14:textId="77777777" w:rsidR="00346D42" w:rsidRDefault="00346D42" w:rsidP="00346D42">
      <w:p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 xml:space="preserve">Utilising graduation approach for improved sustainability. </w:t>
      </w:r>
    </w:p>
    <w:p w14:paraId="400B26F0" w14:textId="77777777" w:rsidR="00346D42" w:rsidRDefault="00346D42" w:rsidP="00346D42">
      <w:p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Utilising programming with multiplier effect e.g. training of trainers improved cost per indirect beneficiary.</w:t>
      </w:r>
    </w:p>
    <w:p w14:paraId="06E18E40" w14:textId="77777777" w:rsidR="00346D42" w:rsidRDefault="00346D42" w:rsidP="00346D42">
      <w:p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lastRenderedPageBreak/>
        <w:t>Limiting the number of geographies and smaller engagements providing economies of scale with lower support cost ratios.</w:t>
      </w:r>
    </w:p>
    <w:p w14:paraId="161AD531" w14:textId="77777777" w:rsidR="00346D42" w:rsidRDefault="00346D42" w:rsidP="00346D42">
      <w:pPr>
        <w:rPr>
          <w:rFonts w:ascii="Noto Sans" w:hAnsi="Noto Sans" w:cs="Noto Sans"/>
          <w:sz w:val="24"/>
          <w:szCs w:val="24"/>
          <w:lang w:val="en-GB"/>
        </w:rPr>
      </w:pPr>
      <w:r w:rsidRPr="007359E1">
        <w:rPr>
          <w:rFonts w:ascii="Noto Sans" w:hAnsi="Noto Sans" w:cs="Noto Sans"/>
          <w:sz w:val="24"/>
          <w:szCs w:val="24"/>
          <w:lang w:val="en-GB"/>
        </w:rPr>
        <w:t>Shifting from externally designed interventions to co-creation processes with local partners</w:t>
      </w:r>
      <w:r>
        <w:rPr>
          <w:rFonts w:ascii="Noto Sans" w:hAnsi="Noto Sans" w:cs="Noto Sans"/>
          <w:sz w:val="24"/>
          <w:szCs w:val="24"/>
          <w:lang w:val="en-GB"/>
        </w:rPr>
        <w:t xml:space="preserve"> only, identifying </w:t>
      </w:r>
      <w:r w:rsidRPr="007359E1">
        <w:rPr>
          <w:rFonts w:ascii="Noto Sans" w:hAnsi="Noto Sans" w:cs="Noto Sans"/>
          <w:sz w:val="24"/>
          <w:szCs w:val="24"/>
          <w:lang w:val="en-GB"/>
        </w:rPr>
        <w:t>cost-effective local resources</w:t>
      </w:r>
      <w:r>
        <w:rPr>
          <w:rFonts w:ascii="Noto Sans" w:hAnsi="Noto Sans" w:cs="Noto Sans"/>
          <w:sz w:val="24"/>
          <w:szCs w:val="24"/>
          <w:lang w:val="en-GB"/>
        </w:rPr>
        <w:t xml:space="preserve"> and complex community dynamics </w:t>
      </w:r>
      <w:r w:rsidRPr="007359E1">
        <w:rPr>
          <w:rFonts w:ascii="Noto Sans" w:hAnsi="Noto Sans" w:cs="Noto Sans"/>
          <w:sz w:val="24"/>
          <w:szCs w:val="24"/>
          <w:lang w:val="en-GB"/>
        </w:rPr>
        <w:t>result</w:t>
      </w:r>
      <w:r>
        <w:rPr>
          <w:rFonts w:ascii="Noto Sans" w:hAnsi="Noto Sans" w:cs="Noto Sans"/>
          <w:sz w:val="24"/>
          <w:szCs w:val="24"/>
          <w:lang w:val="en-GB"/>
        </w:rPr>
        <w:t>ing</w:t>
      </w:r>
      <w:r w:rsidRPr="007359E1">
        <w:rPr>
          <w:rFonts w:ascii="Noto Sans" w:hAnsi="Noto Sans" w:cs="Noto Sans"/>
          <w:sz w:val="24"/>
          <w:szCs w:val="24"/>
          <w:lang w:val="en-GB"/>
        </w:rPr>
        <w:t xml:space="preserve"> in</w:t>
      </w:r>
      <w:r>
        <w:rPr>
          <w:rFonts w:ascii="Noto Sans" w:hAnsi="Noto Sans" w:cs="Noto Sans"/>
          <w:sz w:val="24"/>
          <w:szCs w:val="24"/>
          <w:lang w:val="en-GB"/>
        </w:rPr>
        <w:t xml:space="preserve"> </w:t>
      </w:r>
      <w:r w:rsidRPr="007359E1">
        <w:rPr>
          <w:rFonts w:ascii="Noto Sans" w:hAnsi="Noto Sans" w:cs="Noto Sans"/>
          <w:sz w:val="24"/>
          <w:szCs w:val="24"/>
          <w:lang w:val="en-GB"/>
        </w:rPr>
        <w:t>more culturally and contextually appropriate solutions</w:t>
      </w:r>
      <w:r>
        <w:rPr>
          <w:rFonts w:ascii="Noto Sans" w:hAnsi="Noto Sans" w:cs="Noto Sans"/>
          <w:sz w:val="24"/>
          <w:szCs w:val="24"/>
          <w:lang w:val="en-GB"/>
        </w:rPr>
        <w:t xml:space="preserve"> and lower cost per output</w:t>
      </w:r>
      <w:r w:rsidRPr="007359E1">
        <w:rPr>
          <w:rFonts w:ascii="Noto Sans" w:hAnsi="Noto Sans" w:cs="Noto Sans"/>
          <w:sz w:val="24"/>
          <w:szCs w:val="24"/>
          <w:lang w:val="en-GB"/>
        </w:rPr>
        <w:t>.</w:t>
      </w:r>
    </w:p>
    <w:p w14:paraId="1E716529" w14:textId="77777777" w:rsidR="00346D42" w:rsidRDefault="00346D42" w:rsidP="00346D42">
      <w:p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Optimizing administration systems and processes internally in the organization releases time for more project work.</w:t>
      </w:r>
    </w:p>
    <w:p w14:paraId="7F429DBF" w14:textId="77777777" w:rsidR="00346D42" w:rsidRDefault="00346D42" w:rsidP="00346D42">
      <w:pPr>
        <w:pStyle w:val="Heading1"/>
        <w:rPr>
          <w:rFonts w:ascii="Noto Sans" w:hAnsi="Noto Sans" w:cs="Noto Sans"/>
          <w:sz w:val="32"/>
          <w:szCs w:val="24"/>
          <w:lang w:val="en-GB"/>
        </w:rPr>
      </w:pPr>
      <w:r>
        <w:rPr>
          <w:rFonts w:ascii="Noto Sans" w:hAnsi="Noto Sans" w:cs="Noto Sans"/>
          <w:sz w:val="32"/>
          <w:szCs w:val="24"/>
          <w:lang w:val="en-GB"/>
        </w:rPr>
        <w:t xml:space="preserve">6. </w:t>
      </w:r>
      <w:r w:rsidRPr="00354516">
        <w:rPr>
          <w:rFonts w:ascii="Noto Sans" w:hAnsi="Noto Sans" w:cs="Noto Sans"/>
          <w:sz w:val="32"/>
          <w:szCs w:val="24"/>
          <w:lang w:val="en-GB"/>
        </w:rPr>
        <w:t xml:space="preserve">Implementation and </w:t>
      </w:r>
      <w:r>
        <w:rPr>
          <w:rFonts w:ascii="Noto Sans" w:hAnsi="Noto Sans" w:cs="Noto Sans"/>
          <w:sz w:val="32"/>
          <w:szCs w:val="24"/>
          <w:lang w:val="en-GB"/>
        </w:rPr>
        <w:t>n</w:t>
      </w:r>
      <w:r w:rsidRPr="00354516">
        <w:rPr>
          <w:rFonts w:ascii="Noto Sans" w:hAnsi="Noto Sans" w:cs="Noto Sans"/>
          <w:sz w:val="32"/>
          <w:szCs w:val="24"/>
          <w:lang w:val="en-GB"/>
        </w:rPr>
        <w:t xml:space="preserve">ext </w:t>
      </w:r>
      <w:r>
        <w:rPr>
          <w:rFonts w:ascii="Noto Sans" w:hAnsi="Noto Sans" w:cs="Noto Sans"/>
          <w:sz w:val="32"/>
          <w:szCs w:val="24"/>
          <w:lang w:val="en-GB"/>
        </w:rPr>
        <w:t>s</w:t>
      </w:r>
      <w:r w:rsidRPr="00354516">
        <w:rPr>
          <w:rFonts w:ascii="Noto Sans" w:hAnsi="Noto Sans" w:cs="Noto Sans"/>
          <w:sz w:val="32"/>
          <w:szCs w:val="24"/>
          <w:lang w:val="en-GB"/>
        </w:rPr>
        <w:t>teps</w:t>
      </w:r>
    </w:p>
    <w:p w14:paraId="39AAB002" w14:textId="4FB8AB24" w:rsidR="00346D42" w:rsidRPr="0095766B" w:rsidRDefault="00C31C46" w:rsidP="00346D42">
      <w:p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>T</w:t>
      </w:r>
      <w:r w:rsidR="00346D42" w:rsidRPr="0095766B">
        <w:rPr>
          <w:rFonts w:ascii="Noto Sans" w:hAnsi="Noto Sans" w:cs="Noto Sans"/>
          <w:sz w:val="24"/>
          <w:szCs w:val="24"/>
          <w:lang w:val="en-GB"/>
        </w:rPr>
        <w:t xml:space="preserve">he </w:t>
      </w:r>
      <w:r>
        <w:rPr>
          <w:rFonts w:ascii="Noto Sans" w:hAnsi="Noto Sans" w:cs="Noto Sans"/>
          <w:sz w:val="24"/>
          <w:szCs w:val="24"/>
          <w:lang w:val="en-GB"/>
        </w:rPr>
        <w:t xml:space="preserve">organisation </w:t>
      </w:r>
      <w:r w:rsidR="00346D42">
        <w:rPr>
          <w:rFonts w:ascii="Noto Sans" w:hAnsi="Noto Sans" w:cs="Noto Sans"/>
          <w:sz w:val="24"/>
          <w:szCs w:val="24"/>
          <w:lang w:val="en-GB"/>
        </w:rPr>
        <w:t>shall</w:t>
      </w:r>
      <w:r w:rsidR="00346D42" w:rsidRPr="0095766B">
        <w:rPr>
          <w:rFonts w:ascii="Noto Sans" w:hAnsi="Noto Sans" w:cs="Noto Sans"/>
          <w:sz w:val="24"/>
          <w:szCs w:val="24"/>
          <w:lang w:val="en-GB"/>
        </w:rPr>
        <w:t xml:space="preserve"> </w:t>
      </w:r>
      <w:r>
        <w:rPr>
          <w:rFonts w:ascii="Noto Sans" w:hAnsi="Noto Sans" w:cs="Noto Sans"/>
          <w:sz w:val="24"/>
          <w:szCs w:val="24"/>
          <w:lang w:val="en-GB"/>
        </w:rPr>
        <w:t>(l</w:t>
      </w:r>
      <w:r>
        <w:rPr>
          <w:rFonts w:ascii="Noto Sans" w:hAnsi="Noto Sans" w:cs="Noto Sans"/>
          <w:sz w:val="24"/>
          <w:szCs w:val="24"/>
          <w:lang w:val="en-GB"/>
        </w:rPr>
        <w:t xml:space="preserve">atest by </w:t>
      </w:r>
      <w:r>
        <w:rPr>
          <w:rFonts w:ascii="Noto Sans" w:hAnsi="Noto Sans" w:cs="Noto Sans"/>
          <w:sz w:val="24"/>
          <w:szCs w:val="24"/>
          <w:lang w:val="en-GB"/>
        </w:rPr>
        <w:t xml:space="preserve">the </w:t>
      </w:r>
      <w:r>
        <w:rPr>
          <w:rFonts w:ascii="Noto Sans" w:hAnsi="Noto Sans" w:cs="Noto Sans"/>
          <w:sz w:val="24"/>
          <w:szCs w:val="24"/>
          <w:lang w:val="en-GB"/>
        </w:rPr>
        <w:t>end of 2025</w:t>
      </w:r>
      <w:r>
        <w:rPr>
          <w:rFonts w:ascii="Noto Sans" w:hAnsi="Noto Sans" w:cs="Noto Sans"/>
          <w:sz w:val="24"/>
          <w:szCs w:val="24"/>
          <w:lang w:val="en-GB"/>
        </w:rPr>
        <w:t xml:space="preserve">) </w:t>
      </w:r>
      <w:r w:rsidR="00346D42" w:rsidRPr="0095766B">
        <w:rPr>
          <w:rFonts w:ascii="Noto Sans" w:hAnsi="Noto Sans" w:cs="Noto Sans"/>
          <w:sz w:val="24"/>
          <w:szCs w:val="24"/>
          <w:lang w:val="en-GB"/>
        </w:rPr>
        <w:t xml:space="preserve">develop a strategy or equivalent for ensuring and strengthening </w:t>
      </w:r>
      <w:proofErr w:type="spellStart"/>
      <w:r w:rsidR="00346D42" w:rsidRPr="0095766B"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 w:rsidR="00346D42" w:rsidRPr="0095766B">
        <w:rPr>
          <w:rFonts w:ascii="Noto Sans" w:hAnsi="Noto Sans" w:cs="Noto Sans"/>
          <w:sz w:val="24"/>
          <w:szCs w:val="24"/>
          <w:lang w:val="en-GB"/>
        </w:rPr>
        <w:t xml:space="preserve"> in the administration and implementation, including selected indicators for measuring and analysing own progression in strengthening </w:t>
      </w:r>
      <w:proofErr w:type="spellStart"/>
      <w:r w:rsidR="00346D42" w:rsidRPr="0095766B"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 w:rsidR="00346D42" w:rsidRPr="0095766B">
        <w:rPr>
          <w:rFonts w:ascii="Noto Sans" w:hAnsi="Noto Sans" w:cs="Noto Sans"/>
          <w:sz w:val="24"/>
          <w:szCs w:val="24"/>
          <w:lang w:val="en-GB"/>
        </w:rPr>
        <w:t xml:space="preserve"> both at the country and HQ level.</w:t>
      </w:r>
      <w:r w:rsidR="00346D42">
        <w:rPr>
          <w:rFonts w:ascii="Noto Sans" w:hAnsi="Noto Sans" w:cs="Noto Sans"/>
          <w:sz w:val="24"/>
          <w:szCs w:val="24"/>
          <w:lang w:val="en-GB"/>
        </w:rPr>
        <w:t xml:space="preserve"> For this </w:t>
      </w:r>
      <w:proofErr w:type="gramStart"/>
      <w:r w:rsidR="00346D42">
        <w:rPr>
          <w:rFonts w:ascii="Noto Sans" w:hAnsi="Noto Sans" w:cs="Noto Sans"/>
          <w:sz w:val="24"/>
          <w:szCs w:val="24"/>
          <w:lang w:val="en-GB"/>
        </w:rPr>
        <w:t>purpose</w:t>
      </w:r>
      <w:proofErr w:type="gramEnd"/>
      <w:r w:rsidR="00346D42">
        <w:rPr>
          <w:rFonts w:ascii="Noto Sans" w:hAnsi="Noto Sans" w:cs="Noto Sans"/>
          <w:sz w:val="24"/>
          <w:szCs w:val="24"/>
          <w:lang w:val="en-GB"/>
        </w:rPr>
        <w:t xml:space="preserve"> it is expected that the organisation will</w:t>
      </w:r>
      <w:r w:rsidR="00426F0F">
        <w:rPr>
          <w:rFonts w:ascii="Noto Sans" w:hAnsi="Noto Sans" w:cs="Noto Sans"/>
          <w:sz w:val="24"/>
          <w:szCs w:val="24"/>
          <w:lang w:val="en-GB"/>
        </w:rPr>
        <w:t xml:space="preserve"> take reasonable steps to</w:t>
      </w:r>
      <w:r w:rsidR="00346D42">
        <w:rPr>
          <w:rFonts w:ascii="Noto Sans" w:hAnsi="Noto Sans" w:cs="Noto Sans"/>
          <w:sz w:val="24"/>
          <w:szCs w:val="24"/>
          <w:lang w:val="en-GB"/>
        </w:rPr>
        <w:t>:</w:t>
      </w:r>
    </w:p>
    <w:p w14:paraId="642F0DDF" w14:textId="7842F90B" w:rsidR="00346D42" w:rsidRDefault="00346D42" w:rsidP="00346D42">
      <w:pPr>
        <w:pStyle w:val="ListParagraph"/>
        <w:numPr>
          <w:ilvl w:val="0"/>
          <w:numId w:val="1"/>
        </w:numPr>
        <w:rPr>
          <w:rFonts w:ascii="Noto Sans" w:hAnsi="Noto Sans" w:cs="Noto Sans"/>
          <w:sz w:val="24"/>
          <w:szCs w:val="24"/>
          <w:lang w:val="en-GB"/>
        </w:rPr>
      </w:pPr>
      <w:r w:rsidRPr="0095766B">
        <w:rPr>
          <w:rFonts w:ascii="Noto Sans" w:hAnsi="Noto Sans" w:cs="Noto Sans"/>
          <w:sz w:val="24"/>
          <w:szCs w:val="24"/>
          <w:lang w:val="en-GB"/>
        </w:rPr>
        <w:t xml:space="preserve">Build upon existing </w:t>
      </w:r>
      <w:proofErr w:type="spellStart"/>
      <w:r w:rsidRPr="0095766B"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 w:rsidRPr="0095766B">
        <w:rPr>
          <w:rFonts w:ascii="Noto Sans" w:hAnsi="Noto Sans" w:cs="Noto Sans"/>
          <w:sz w:val="24"/>
          <w:szCs w:val="24"/>
          <w:lang w:val="en-GB"/>
        </w:rPr>
        <w:t xml:space="preserve"> tools and approaches</w:t>
      </w:r>
      <w:r w:rsidR="00E369E1">
        <w:rPr>
          <w:rFonts w:ascii="Noto Sans" w:hAnsi="Noto Sans" w:cs="Noto Sans"/>
          <w:sz w:val="24"/>
          <w:szCs w:val="24"/>
          <w:lang w:val="en-GB"/>
        </w:rPr>
        <w:t>.</w:t>
      </w:r>
    </w:p>
    <w:p w14:paraId="7C341959" w14:textId="0F7BE0AB" w:rsidR="00346D42" w:rsidRDefault="00346D42" w:rsidP="00346D42">
      <w:pPr>
        <w:pStyle w:val="ListParagraph"/>
        <w:numPr>
          <w:ilvl w:val="0"/>
          <w:numId w:val="1"/>
        </w:numPr>
        <w:rPr>
          <w:rFonts w:ascii="Noto Sans" w:hAnsi="Noto Sans" w:cs="Noto Sans"/>
          <w:sz w:val="24"/>
          <w:szCs w:val="24"/>
          <w:lang w:val="en-GB"/>
        </w:rPr>
      </w:pPr>
      <w:r w:rsidRPr="0095766B">
        <w:rPr>
          <w:rFonts w:ascii="Noto Sans" w:hAnsi="Noto Sans" w:cs="Noto Sans"/>
          <w:sz w:val="24"/>
          <w:szCs w:val="24"/>
          <w:lang w:val="en-GB"/>
        </w:rPr>
        <w:t>Use this guidance to refine partner-specific strategies</w:t>
      </w:r>
      <w:r w:rsidR="00E369E1">
        <w:rPr>
          <w:rFonts w:ascii="Noto Sans" w:hAnsi="Noto Sans" w:cs="Noto Sans"/>
          <w:sz w:val="24"/>
          <w:szCs w:val="24"/>
          <w:lang w:val="en-GB"/>
        </w:rPr>
        <w:t>.</w:t>
      </w:r>
    </w:p>
    <w:p w14:paraId="75BD5667" w14:textId="3C354902" w:rsidR="00346D42" w:rsidRDefault="00346D42" w:rsidP="00346D42">
      <w:pPr>
        <w:pStyle w:val="ListParagraph"/>
        <w:numPr>
          <w:ilvl w:val="0"/>
          <w:numId w:val="1"/>
        </w:numPr>
        <w:rPr>
          <w:rFonts w:ascii="Noto Sans" w:hAnsi="Noto Sans" w:cs="Noto Sans"/>
          <w:sz w:val="24"/>
          <w:szCs w:val="24"/>
          <w:lang w:val="en-GB"/>
        </w:rPr>
      </w:pPr>
      <w:r w:rsidRPr="0095766B">
        <w:rPr>
          <w:rFonts w:ascii="Noto Sans" w:hAnsi="Noto Sans" w:cs="Noto Sans"/>
          <w:sz w:val="24"/>
          <w:szCs w:val="24"/>
          <w:lang w:val="en-GB"/>
        </w:rPr>
        <w:t>Share approaches and lessons learned through SPA platforms</w:t>
      </w:r>
      <w:r w:rsidR="00E369E1">
        <w:rPr>
          <w:rFonts w:ascii="Noto Sans" w:hAnsi="Noto Sans" w:cs="Noto Sans"/>
          <w:sz w:val="24"/>
          <w:szCs w:val="24"/>
          <w:lang w:val="en-GB"/>
        </w:rPr>
        <w:t>.</w:t>
      </w:r>
    </w:p>
    <w:p w14:paraId="7BA89CFC" w14:textId="7A8A74B1" w:rsidR="00346D42" w:rsidRDefault="00346D42" w:rsidP="00346D42">
      <w:pPr>
        <w:pStyle w:val="ListParagraph"/>
        <w:numPr>
          <w:ilvl w:val="0"/>
          <w:numId w:val="1"/>
        </w:numPr>
        <w:rPr>
          <w:rFonts w:ascii="Noto Sans" w:hAnsi="Noto Sans" w:cs="Noto Sans"/>
          <w:sz w:val="24"/>
          <w:szCs w:val="24"/>
          <w:lang w:val="en-GB"/>
        </w:rPr>
      </w:pPr>
      <w:r w:rsidRPr="0095766B">
        <w:rPr>
          <w:rFonts w:ascii="Noto Sans" w:hAnsi="Noto Sans" w:cs="Noto Sans"/>
          <w:sz w:val="24"/>
          <w:szCs w:val="24"/>
          <w:lang w:val="en-GB"/>
        </w:rPr>
        <w:t xml:space="preserve">Foster a learning culture around </w:t>
      </w:r>
      <w:proofErr w:type="spellStart"/>
      <w:r w:rsidRPr="0095766B"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 w:rsidR="00E369E1">
        <w:rPr>
          <w:rFonts w:ascii="Noto Sans" w:hAnsi="Noto Sans" w:cs="Noto Sans"/>
          <w:sz w:val="24"/>
          <w:szCs w:val="24"/>
          <w:lang w:val="en-GB"/>
        </w:rPr>
        <w:t>.</w:t>
      </w:r>
    </w:p>
    <w:p w14:paraId="0E9B5B39" w14:textId="0428B8F4" w:rsidR="00346D42" w:rsidRDefault="00346D42" w:rsidP="00346D42">
      <w:pPr>
        <w:pStyle w:val="ListParagraph"/>
        <w:numPr>
          <w:ilvl w:val="0"/>
          <w:numId w:val="1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 xml:space="preserve">Apply the </w:t>
      </w:r>
      <w:proofErr w:type="spellStart"/>
      <w:r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>
        <w:rPr>
          <w:rFonts w:ascii="Noto Sans" w:hAnsi="Noto Sans" w:cs="Noto Sans"/>
          <w:sz w:val="24"/>
          <w:szCs w:val="24"/>
          <w:lang w:val="en-GB"/>
        </w:rPr>
        <w:t xml:space="preserve"> strategy in partnerships with local partners</w:t>
      </w:r>
      <w:r w:rsidR="00E369E1">
        <w:rPr>
          <w:rFonts w:ascii="Noto Sans" w:hAnsi="Noto Sans" w:cs="Noto Sans"/>
          <w:sz w:val="24"/>
          <w:szCs w:val="24"/>
          <w:lang w:val="en-GB"/>
        </w:rPr>
        <w:t>.</w:t>
      </w:r>
    </w:p>
    <w:p w14:paraId="79074DEE" w14:textId="77777777" w:rsidR="00346D42" w:rsidRDefault="00346D42" w:rsidP="00346D42">
      <w:pPr>
        <w:pStyle w:val="ListParagraph"/>
        <w:numPr>
          <w:ilvl w:val="0"/>
          <w:numId w:val="1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 xml:space="preserve">Promote a </w:t>
      </w:r>
      <w:proofErr w:type="spellStart"/>
      <w:r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>
        <w:rPr>
          <w:rFonts w:ascii="Noto Sans" w:hAnsi="Noto Sans" w:cs="Noto Sans"/>
          <w:sz w:val="24"/>
          <w:szCs w:val="24"/>
          <w:lang w:val="en-GB"/>
        </w:rPr>
        <w:t xml:space="preserve"> approach through actions and capacity building efforts internally and for local partners.</w:t>
      </w:r>
    </w:p>
    <w:p w14:paraId="28459474" w14:textId="77777777" w:rsidR="00346D42" w:rsidRDefault="00346D42" w:rsidP="00346D42">
      <w:pPr>
        <w:pStyle w:val="ListParagraph"/>
        <w:numPr>
          <w:ilvl w:val="0"/>
          <w:numId w:val="1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 xml:space="preserve">Make the </w:t>
      </w:r>
      <w:proofErr w:type="spellStart"/>
      <w:r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>
        <w:rPr>
          <w:rFonts w:ascii="Noto Sans" w:hAnsi="Noto Sans" w:cs="Noto Sans"/>
          <w:sz w:val="24"/>
          <w:szCs w:val="24"/>
          <w:lang w:val="en-GB"/>
        </w:rPr>
        <w:t xml:space="preserve"> approach available internally by distribution internally and in the partnerships.</w:t>
      </w:r>
    </w:p>
    <w:p w14:paraId="105CFCB0" w14:textId="77777777" w:rsidR="00346D42" w:rsidRDefault="00346D42" w:rsidP="00346D42">
      <w:pPr>
        <w:pStyle w:val="ListParagraph"/>
        <w:numPr>
          <w:ilvl w:val="0"/>
          <w:numId w:val="1"/>
        </w:numPr>
        <w:rPr>
          <w:rFonts w:ascii="Noto Sans" w:hAnsi="Noto Sans" w:cs="Noto Sans"/>
          <w:sz w:val="24"/>
          <w:szCs w:val="24"/>
          <w:lang w:val="en-GB"/>
        </w:rPr>
      </w:pPr>
      <w:r w:rsidRPr="00A6644D">
        <w:rPr>
          <w:rFonts w:ascii="Noto Sans" w:hAnsi="Noto Sans" w:cs="Noto Sans"/>
          <w:sz w:val="24"/>
          <w:szCs w:val="24"/>
          <w:lang w:val="en-GB"/>
        </w:rPr>
        <w:t xml:space="preserve">Report by examples and by measuring progress within </w:t>
      </w:r>
      <w:proofErr w:type="gramStart"/>
      <w:r w:rsidRPr="00A6644D">
        <w:rPr>
          <w:rFonts w:ascii="Noto Sans" w:hAnsi="Noto Sans" w:cs="Noto Sans"/>
          <w:sz w:val="24"/>
          <w:szCs w:val="24"/>
          <w:lang w:val="en-GB"/>
        </w:rPr>
        <w:t>a number of</w:t>
      </w:r>
      <w:proofErr w:type="gramEnd"/>
      <w:r w:rsidRPr="00A6644D">
        <w:rPr>
          <w:rFonts w:ascii="Noto Sans" w:hAnsi="Noto Sans" w:cs="Noto Sans"/>
          <w:sz w:val="24"/>
          <w:szCs w:val="24"/>
          <w:lang w:val="en-GB"/>
        </w:rPr>
        <w:t xml:space="preserve"> indicators identified by the organisation.</w:t>
      </w:r>
    </w:p>
    <w:p w14:paraId="7A510B5C" w14:textId="76A3F7BC" w:rsidR="00445BF0" w:rsidRDefault="00445BF0" w:rsidP="00346D42">
      <w:pPr>
        <w:pStyle w:val="ListParagraph"/>
        <w:numPr>
          <w:ilvl w:val="0"/>
          <w:numId w:val="1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 xml:space="preserve">Present progress </w:t>
      </w:r>
      <w:r w:rsidR="00F813CB">
        <w:rPr>
          <w:rFonts w:ascii="Noto Sans" w:hAnsi="Noto Sans" w:cs="Noto Sans"/>
          <w:sz w:val="24"/>
          <w:szCs w:val="24"/>
          <w:lang w:val="en-GB"/>
        </w:rPr>
        <w:t>o</w:t>
      </w:r>
      <w:r>
        <w:rPr>
          <w:rFonts w:ascii="Noto Sans" w:hAnsi="Noto Sans" w:cs="Noto Sans"/>
          <w:sz w:val="24"/>
          <w:szCs w:val="24"/>
          <w:lang w:val="en-GB"/>
        </w:rPr>
        <w:t xml:space="preserve">n </w:t>
      </w:r>
      <w:proofErr w:type="spellStart"/>
      <w:r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>
        <w:rPr>
          <w:rFonts w:ascii="Noto Sans" w:hAnsi="Noto Sans" w:cs="Noto Sans"/>
          <w:sz w:val="24"/>
          <w:szCs w:val="24"/>
          <w:lang w:val="en-GB"/>
        </w:rPr>
        <w:t xml:space="preserve"> indicators during annual consultations when requested.</w:t>
      </w:r>
    </w:p>
    <w:p w14:paraId="5A56978B" w14:textId="77777777" w:rsidR="00346D42" w:rsidRPr="00A6644D" w:rsidRDefault="00346D42" w:rsidP="00346D42">
      <w:pPr>
        <w:pStyle w:val="ListParagraph"/>
        <w:numPr>
          <w:ilvl w:val="0"/>
          <w:numId w:val="1"/>
        </w:numPr>
        <w:rPr>
          <w:rFonts w:ascii="Noto Sans" w:hAnsi="Noto Sans" w:cs="Noto Sans"/>
          <w:sz w:val="24"/>
          <w:szCs w:val="24"/>
          <w:lang w:val="en-GB"/>
        </w:rPr>
      </w:pPr>
      <w:r>
        <w:rPr>
          <w:rFonts w:ascii="Noto Sans" w:hAnsi="Noto Sans" w:cs="Noto Sans"/>
          <w:sz w:val="24"/>
          <w:szCs w:val="24"/>
          <w:lang w:val="en-GB"/>
        </w:rPr>
        <w:t xml:space="preserve">Provide </w:t>
      </w:r>
      <w:proofErr w:type="spellStart"/>
      <w:r>
        <w:rPr>
          <w:rFonts w:ascii="Noto Sans" w:hAnsi="Noto Sans" w:cs="Noto Sans"/>
          <w:sz w:val="24"/>
          <w:szCs w:val="24"/>
          <w:lang w:val="en-GB"/>
        </w:rPr>
        <w:t>VfM</w:t>
      </w:r>
      <w:proofErr w:type="spellEnd"/>
      <w:r>
        <w:rPr>
          <w:rFonts w:ascii="Noto Sans" w:hAnsi="Noto Sans" w:cs="Noto Sans"/>
          <w:sz w:val="24"/>
          <w:szCs w:val="24"/>
          <w:lang w:val="en-GB"/>
        </w:rPr>
        <w:t xml:space="preserve"> strategy to external auditors to consider as part of the performance audit.</w:t>
      </w:r>
    </w:p>
    <w:p w14:paraId="6638DBA1" w14:textId="77777777" w:rsidR="00346D42" w:rsidRPr="00346D42" w:rsidRDefault="00346D42">
      <w:pPr>
        <w:rPr>
          <w:lang w:val="en-GB"/>
        </w:rPr>
      </w:pPr>
    </w:p>
    <w:sectPr w:rsidR="00346D42" w:rsidRPr="00346D42" w:rsidSect="00346D42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FD88" w14:textId="77777777" w:rsidR="00C768DA" w:rsidRDefault="00C768DA">
      <w:pPr>
        <w:spacing w:after="0" w:line="240" w:lineRule="auto"/>
      </w:pPr>
      <w:r>
        <w:separator/>
      </w:r>
    </w:p>
  </w:endnote>
  <w:endnote w:type="continuationSeparator" w:id="0">
    <w:p w14:paraId="2BA360CB" w14:textId="77777777" w:rsidR="00C768DA" w:rsidRDefault="00C7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090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1B5A60" w14:textId="77777777" w:rsidR="00DA67BE" w:rsidRDefault="00F813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670CB0" w14:textId="77777777" w:rsidR="00DA67BE" w:rsidRDefault="00DA6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D695" w14:textId="77777777" w:rsidR="00C768DA" w:rsidRDefault="00C768DA">
      <w:pPr>
        <w:spacing w:after="0" w:line="240" w:lineRule="auto"/>
      </w:pPr>
      <w:r>
        <w:separator/>
      </w:r>
    </w:p>
  </w:footnote>
  <w:footnote w:type="continuationSeparator" w:id="0">
    <w:p w14:paraId="1BA696E3" w14:textId="77777777" w:rsidR="00C768DA" w:rsidRDefault="00C7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A4C2" w14:textId="77777777" w:rsidR="00DA67BE" w:rsidRDefault="00F813CB" w:rsidP="00BC4B26">
    <w:pPr>
      <w:pStyle w:val="Header"/>
    </w:pPr>
    <w:r>
      <w:rPr>
        <w:noProof/>
        <w:lang w:val="da-DK" w:eastAsia="da-DK"/>
      </w:rPr>
      <w:drawing>
        <wp:inline distT="0" distB="0" distL="0" distR="0" wp14:anchorId="2EBCD0D5" wp14:editId="1CA45346">
          <wp:extent cx="1755140" cy="396240"/>
          <wp:effectExtent l="0" t="0" r="0" b="3810"/>
          <wp:docPr id="1" name="Billede 1" descr="A close up of a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A close 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BD8A94" w14:textId="77777777" w:rsidR="00DA67BE" w:rsidRDefault="00DA67BE" w:rsidP="00BC4B26">
    <w:pPr>
      <w:pStyle w:val="Header"/>
    </w:pPr>
  </w:p>
  <w:p w14:paraId="487A4361" w14:textId="77777777" w:rsidR="00DA67BE" w:rsidRPr="00BC4B26" w:rsidRDefault="00DA67BE" w:rsidP="00BC4B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7C0"/>
    <w:multiLevelType w:val="hybridMultilevel"/>
    <w:tmpl w:val="C2EC6578"/>
    <w:lvl w:ilvl="0" w:tplc="51E082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56535"/>
    <w:multiLevelType w:val="hybridMultilevel"/>
    <w:tmpl w:val="BBD8E338"/>
    <w:lvl w:ilvl="0" w:tplc="51E082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D4CF3"/>
    <w:multiLevelType w:val="hybridMultilevel"/>
    <w:tmpl w:val="7032C092"/>
    <w:lvl w:ilvl="0" w:tplc="51E082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00B42"/>
    <w:multiLevelType w:val="hybridMultilevel"/>
    <w:tmpl w:val="37506680"/>
    <w:lvl w:ilvl="0" w:tplc="51E082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82761">
    <w:abstractNumId w:val="2"/>
  </w:num>
  <w:num w:numId="2" w16cid:durableId="499809819">
    <w:abstractNumId w:val="1"/>
  </w:num>
  <w:num w:numId="3" w16cid:durableId="1411544549">
    <w:abstractNumId w:val="0"/>
  </w:num>
  <w:num w:numId="4" w16cid:durableId="127290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42"/>
    <w:rsid w:val="000F1E98"/>
    <w:rsid w:val="00155FC6"/>
    <w:rsid w:val="00244414"/>
    <w:rsid w:val="00346D42"/>
    <w:rsid w:val="003602A8"/>
    <w:rsid w:val="00426F0F"/>
    <w:rsid w:val="00445BF0"/>
    <w:rsid w:val="005C77FC"/>
    <w:rsid w:val="006430CF"/>
    <w:rsid w:val="006F4161"/>
    <w:rsid w:val="007736D4"/>
    <w:rsid w:val="00880229"/>
    <w:rsid w:val="00B532D3"/>
    <w:rsid w:val="00C31C46"/>
    <w:rsid w:val="00C768DA"/>
    <w:rsid w:val="00C8664A"/>
    <w:rsid w:val="00C90966"/>
    <w:rsid w:val="00D8296A"/>
    <w:rsid w:val="00D92AF1"/>
    <w:rsid w:val="00DA67BE"/>
    <w:rsid w:val="00DF1BD5"/>
    <w:rsid w:val="00E369E1"/>
    <w:rsid w:val="00ED03CE"/>
    <w:rsid w:val="00F8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31CE4B"/>
  <w15:chartTrackingRefBased/>
  <w15:docId w15:val="{980C95A5-B494-465B-A6DA-FB08A0F1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D4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D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6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D42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6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D42"/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Intet">
    <w:name w:val="Intet"/>
    <w:rsid w:val="00346D42"/>
    <w:rPr>
      <w:lang w:val="en-US"/>
    </w:rPr>
  </w:style>
  <w:style w:type="table" w:styleId="PlainTable1">
    <w:name w:val="Plain Table 1"/>
    <w:basedOn w:val="TableNormal"/>
    <w:uiPriority w:val="99"/>
    <w:rsid w:val="00346D4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445BF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Thede Anderskov</dc:creator>
  <cp:keywords/>
  <dc:description/>
  <cp:lastModifiedBy>Kasper Thede Anderskov</cp:lastModifiedBy>
  <cp:revision>4</cp:revision>
  <dcterms:created xsi:type="dcterms:W3CDTF">2025-06-29T14:21:00Z</dcterms:created>
  <dcterms:modified xsi:type="dcterms:W3CDTF">2025-06-29T14:28:00Z</dcterms:modified>
</cp:coreProperties>
</file>