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AAF" w:rsidRDefault="002D7AAF" w:rsidP="003E6C07">
      <w:pPr>
        <w:rPr>
          <w:b/>
        </w:rPr>
      </w:pPr>
      <w:bookmarkStart w:id="0" w:name="_GoBack"/>
      <w:bookmarkEnd w:id="0"/>
    </w:p>
    <w:p w:rsidR="00670E55" w:rsidRPr="00670E55" w:rsidRDefault="00DA4FA4" w:rsidP="00670E55">
      <w:pPr>
        <w:pStyle w:val="Overskrift2"/>
        <w:rPr>
          <w:b/>
          <w:color w:val="auto"/>
          <w:sz w:val="28"/>
          <w:szCs w:val="28"/>
        </w:rPr>
      </w:pPr>
      <w:r>
        <w:rPr>
          <w:b/>
          <w:color w:val="auto"/>
          <w:sz w:val="28"/>
          <w:szCs w:val="28"/>
        </w:rPr>
        <w:t>Annex 3</w:t>
      </w:r>
      <w:r w:rsidR="00670E55" w:rsidRPr="00670E55">
        <w:rPr>
          <w:b/>
          <w:color w:val="auto"/>
          <w:sz w:val="28"/>
          <w:szCs w:val="28"/>
        </w:rPr>
        <w:t>: Risk Management Matrix</w:t>
      </w:r>
    </w:p>
    <w:p w:rsidR="00670E55" w:rsidRPr="00E42521" w:rsidRDefault="00E42521" w:rsidP="00670E55">
      <w:pPr>
        <w:rPr>
          <w:b/>
          <w:i/>
        </w:rPr>
      </w:pPr>
      <w:r w:rsidRPr="00E42521">
        <w:rPr>
          <w:b/>
          <w:i/>
          <w:highlight w:val="yellow"/>
        </w:rPr>
        <w:t xml:space="preserve">[Instruction: </w:t>
      </w:r>
      <w:r>
        <w:rPr>
          <w:b/>
          <w:i/>
          <w:highlight w:val="yellow"/>
        </w:rPr>
        <w:t xml:space="preserve">before finalising this annex, please </w:t>
      </w:r>
      <w:r w:rsidRPr="00E42521">
        <w:rPr>
          <w:b/>
          <w:i/>
          <w:highlight w:val="yellow"/>
        </w:rPr>
        <w:t xml:space="preserve">delete the </w:t>
      </w:r>
      <w:r>
        <w:rPr>
          <w:b/>
          <w:i/>
          <w:highlight w:val="yellow"/>
        </w:rPr>
        <w:t xml:space="preserve">example provided below and the </w:t>
      </w:r>
      <w:r w:rsidRPr="00E42521">
        <w:rPr>
          <w:b/>
          <w:i/>
          <w:highlight w:val="yellow"/>
        </w:rPr>
        <w:t>highlighted text</w:t>
      </w:r>
      <w:r>
        <w:rPr>
          <w:b/>
          <w:i/>
          <w:highlight w:val="yellow"/>
        </w:rPr>
        <w:t>.]</w:t>
      </w:r>
    </w:p>
    <w:p w:rsidR="00FC288D" w:rsidRPr="00FC288D" w:rsidRDefault="00FC288D" w:rsidP="00FC288D">
      <w:pPr>
        <w:pStyle w:val="Ingenafstand"/>
        <w:rPr>
          <w:rFonts w:asciiTheme="majorHAnsi" w:hAnsiTheme="majorHAnsi"/>
          <w:b/>
          <w:sz w:val="26"/>
          <w:szCs w:val="26"/>
        </w:rPr>
      </w:pPr>
      <w:r>
        <w:rPr>
          <w:rFonts w:asciiTheme="majorHAnsi" w:hAnsiTheme="majorHAnsi"/>
          <w:b/>
          <w:sz w:val="26"/>
          <w:szCs w:val="26"/>
        </w:rPr>
        <w:t xml:space="preserve">1. </w:t>
      </w:r>
      <w:r w:rsidR="003E6C07" w:rsidRPr="00FC288D">
        <w:rPr>
          <w:rFonts w:asciiTheme="majorHAnsi" w:hAnsiTheme="majorHAnsi"/>
          <w:b/>
          <w:sz w:val="26"/>
          <w:szCs w:val="26"/>
        </w:rPr>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992"/>
        <w:gridCol w:w="2268"/>
        <w:gridCol w:w="3119"/>
        <w:gridCol w:w="4819"/>
      </w:tblGrid>
      <w:tr w:rsidR="00C86C10" w:rsidTr="00670E55">
        <w:tc>
          <w:tcPr>
            <w:tcW w:w="1838" w:type="dxa"/>
          </w:tcPr>
          <w:p w:rsidR="00C86C10" w:rsidRPr="009327E3" w:rsidRDefault="00C86C10" w:rsidP="000F1092">
            <w:pPr>
              <w:pStyle w:val="Default"/>
              <w:rPr>
                <w:b/>
                <w:sz w:val="22"/>
                <w:szCs w:val="22"/>
              </w:rPr>
            </w:pPr>
            <w:r w:rsidRPr="009327E3">
              <w:rPr>
                <w:b/>
                <w:sz w:val="22"/>
                <w:szCs w:val="22"/>
              </w:rPr>
              <w:t>Risk Factor</w:t>
            </w:r>
          </w:p>
        </w:tc>
        <w:tc>
          <w:tcPr>
            <w:tcW w:w="1276" w:type="dxa"/>
          </w:tcPr>
          <w:p w:rsidR="00C86C10" w:rsidRPr="009327E3" w:rsidRDefault="00C86C10" w:rsidP="000F1092">
            <w:pPr>
              <w:pStyle w:val="Default"/>
              <w:rPr>
                <w:b/>
                <w:sz w:val="22"/>
                <w:szCs w:val="22"/>
              </w:rPr>
            </w:pPr>
            <w:r w:rsidRPr="009327E3">
              <w:rPr>
                <w:b/>
                <w:sz w:val="22"/>
                <w:szCs w:val="22"/>
              </w:rPr>
              <w:t>Likelihood</w:t>
            </w:r>
          </w:p>
        </w:tc>
        <w:tc>
          <w:tcPr>
            <w:tcW w:w="992" w:type="dxa"/>
          </w:tcPr>
          <w:p w:rsidR="00C86C10" w:rsidRPr="009327E3" w:rsidRDefault="00C86C10" w:rsidP="000F1092">
            <w:pPr>
              <w:pStyle w:val="Default"/>
              <w:rPr>
                <w:b/>
                <w:sz w:val="22"/>
                <w:szCs w:val="22"/>
              </w:rPr>
            </w:pPr>
            <w:r w:rsidRPr="009327E3">
              <w:rPr>
                <w:b/>
                <w:sz w:val="22"/>
                <w:szCs w:val="22"/>
              </w:rPr>
              <w:t>Impact</w:t>
            </w:r>
          </w:p>
        </w:tc>
        <w:tc>
          <w:tcPr>
            <w:tcW w:w="2268" w:type="dxa"/>
          </w:tcPr>
          <w:p w:rsidR="00C86C10" w:rsidRPr="009327E3" w:rsidRDefault="00C86C10" w:rsidP="000F1092">
            <w:pPr>
              <w:pStyle w:val="Default"/>
              <w:rPr>
                <w:b/>
                <w:sz w:val="22"/>
                <w:szCs w:val="22"/>
              </w:rPr>
            </w:pPr>
            <w:r w:rsidRPr="009327E3">
              <w:rPr>
                <w:b/>
                <w:sz w:val="22"/>
                <w:szCs w:val="22"/>
              </w:rPr>
              <w:t>Risk response</w:t>
            </w:r>
          </w:p>
        </w:tc>
        <w:tc>
          <w:tcPr>
            <w:tcW w:w="3119" w:type="dxa"/>
          </w:tcPr>
          <w:p w:rsidR="00C86C10" w:rsidRPr="009327E3" w:rsidRDefault="00C86C10" w:rsidP="000F1092">
            <w:pPr>
              <w:pStyle w:val="Default"/>
              <w:rPr>
                <w:b/>
                <w:sz w:val="22"/>
                <w:szCs w:val="22"/>
              </w:rPr>
            </w:pPr>
            <w:r>
              <w:rPr>
                <w:b/>
                <w:sz w:val="22"/>
                <w:szCs w:val="22"/>
              </w:rPr>
              <w:t>Residual risk</w:t>
            </w:r>
          </w:p>
        </w:tc>
        <w:tc>
          <w:tcPr>
            <w:tcW w:w="4819" w:type="dxa"/>
          </w:tcPr>
          <w:p w:rsidR="00C86C10" w:rsidRPr="009327E3" w:rsidRDefault="00C86C10" w:rsidP="000F1092">
            <w:pPr>
              <w:pStyle w:val="Default"/>
              <w:rPr>
                <w:b/>
                <w:sz w:val="22"/>
                <w:szCs w:val="22"/>
              </w:rPr>
            </w:pPr>
            <w:r w:rsidRPr="009327E3">
              <w:rPr>
                <w:b/>
                <w:sz w:val="22"/>
                <w:szCs w:val="22"/>
              </w:rPr>
              <w:t>Background to assessment</w:t>
            </w: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bl>
    <w:p w:rsidR="003E6C07" w:rsidRDefault="003E6C07" w:rsidP="003E6C07">
      <w:pPr>
        <w:spacing w:after="0"/>
      </w:pPr>
    </w:p>
    <w:p w:rsidR="003E6C07" w:rsidRPr="00FC288D" w:rsidRDefault="00FC288D" w:rsidP="00FC288D">
      <w:pPr>
        <w:pStyle w:val="Ingenafstand"/>
      </w:pPr>
      <w:r>
        <w:rPr>
          <w:rStyle w:val="Overskrift2Tegn"/>
          <w:b/>
          <w:color w:val="auto"/>
        </w:rPr>
        <w:t xml:space="preserve">2. </w:t>
      </w:r>
      <w:r w:rsidR="00C545F0">
        <w:rPr>
          <w:rStyle w:val="Overskrift2Tegn"/>
          <w:b/>
          <w:color w:val="auto"/>
        </w:rPr>
        <w:t>Intervention</w:t>
      </w:r>
      <w:r w:rsidR="003E6C07" w:rsidRPr="00FC288D">
        <w:rPr>
          <w:rStyle w:val="Overskrift2Tegn"/>
          <w:b/>
          <w:color w:val="auto"/>
        </w:rPr>
        <w:t xml:space="preserve"> risks</w:t>
      </w:r>
      <w:r w:rsidR="00092FFF" w:rsidRPr="00FC288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992"/>
        <w:gridCol w:w="2268"/>
        <w:gridCol w:w="3119"/>
        <w:gridCol w:w="4819"/>
      </w:tblGrid>
      <w:tr w:rsidR="00C86C10" w:rsidTr="00670E55">
        <w:tc>
          <w:tcPr>
            <w:tcW w:w="1838" w:type="dxa"/>
          </w:tcPr>
          <w:p w:rsidR="00C86C10" w:rsidRPr="009327E3" w:rsidRDefault="00C86C10" w:rsidP="000F1092">
            <w:pPr>
              <w:pStyle w:val="Default"/>
              <w:rPr>
                <w:b/>
                <w:sz w:val="22"/>
                <w:szCs w:val="22"/>
              </w:rPr>
            </w:pPr>
            <w:r w:rsidRPr="009327E3">
              <w:rPr>
                <w:b/>
                <w:sz w:val="22"/>
                <w:szCs w:val="22"/>
              </w:rPr>
              <w:t>Risk Factor</w:t>
            </w:r>
          </w:p>
        </w:tc>
        <w:tc>
          <w:tcPr>
            <w:tcW w:w="1276" w:type="dxa"/>
          </w:tcPr>
          <w:p w:rsidR="00C86C10" w:rsidRPr="009327E3" w:rsidRDefault="00C86C10" w:rsidP="000F1092">
            <w:pPr>
              <w:pStyle w:val="Default"/>
              <w:rPr>
                <w:b/>
                <w:sz w:val="22"/>
                <w:szCs w:val="22"/>
              </w:rPr>
            </w:pPr>
            <w:r w:rsidRPr="009327E3">
              <w:rPr>
                <w:b/>
                <w:sz w:val="22"/>
                <w:szCs w:val="22"/>
              </w:rPr>
              <w:t>Likelihood</w:t>
            </w:r>
          </w:p>
        </w:tc>
        <w:tc>
          <w:tcPr>
            <w:tcW w:w="992" w:type="dxa"/>
          </w:tcPr>
          <w:p w:rsidR="00C86C10" w:rsidRPr="009327E3" w:rsidRDefault="00C86C10" w:rsidP="000F1092">
            <w:pPr>
              <w:pStyle w:val="Default"/>
              <w:rPr>
                <w:b/>
                <w:sz w:val="22"/>
                <w:szCs w:val="22"/>
              </w:rPr>
            </w:pPr>
            <w:r w:rsidRPr="009327E3">
              <w:rPr>
                <w:b/>
                <w:sz w:val="22"/>
                <w:szCs w:val="22"/>
              </w:rPr>
              <w:t>Impact</w:t>
            </w:r>
          </w:p>
        </w:tc>
        <w:tc>
          <w:tcPr>
            <w:tcW w:w="2268" w:type="dxa"/>
          </w:tcPr>
          <w:p w:rsidR="00C86C10" w:rsidRPr="009327E3" w:rsidRDefault="00C86C10" w:rsidP="000F1092">
            <w:pPr>
              <w:pStyle w:val="Default"/>
              <w:rPr>
                <w:b/>
                <w:sz w:val="22"/>
                <w:szCs w:val="22"/>
              </w:rPr>
            </w:pPr>
            <w:r w:rsidRPr="009327E3">
              <w:rPr>
                <w:b/>
                <w:sz w:val="22"/>
                <w:szCs w:val="22"/>
              </w:rPr>
              <w:t>Risk response</w:t>
            </w:r>
          </w:p>
        </w:tc>
        <w:tc>
          <w:tcPr>
            <w:tcW w:w="3119" w:type="dxa"/>
          </w:tcPr>
          <w:p w:rsidR="00C86C10" w:rsidRPr="009327E3" w:rsidRDefault="00C86C10" w:rsidP="000F1092">
            <w:pPr>
              <w:pStyle w:val="Default"/>
              <w:rPr>
                <w:b/>
                <w:sz w:val="22"/>
                <w:szCs w:val="22"/>
              </w:rPr>
            </w:pPr>
            <w:r>
              <w:rPr>
                <w:b/>
                <w:sz w:val="22"/>
                <w:szCs w:val="22"/>
              </w:rPr>
              <w:t>Residual risk</w:t>
            </w:r>
          </w:p>
        </w:tc>
        <w:tc>
          <w:tcPr>
            <w:tcW w:w="4819" w:type="dxa"/>
          </w:tcPr>
          <w:p w:rsidR="00C86C10" w:rsidRPr="009327E3" w:rsidRDefault="00C86C10" w:rsidP="000F1092">
            <w:pPr>
              <w:pStyle w:val="Default"/>
              <w:rPr>
                <w:b/>
                <w:sz w:val="22"/>
                <w:szCs w:val="22"/>
              </w:rPr>
            </w:pPr>
            <w:r w:rsidRPr="009327E3">
              <w:rPr>
                <w:b/>
                <w:sz w:val="22"/>
                <w:szCs w:val="22"/>
              </w:rPr>
              <w:t>Background to assessment</w:t>
            </w: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bl>
    <w:p w:rsidR="003E6C07" w:rsidRDefault="003E6C07" w:rsidP="003E6C07">
      <w:pPr>
        <w:spacing w:after="0"/>
      </w:pPr>
    </w:p>
    <w:p w:rsidR="00BE3E24" w:rsidRDefault="00BE3E24" w:rsidP="003E6C07">
      <w:pPr>
        <w:rPr>
          <w:b/>
        </w:rPr>
      </w:pPr>
    </w:p>
    <w:p w:rsidR="00A1724A" w:rsidRPr="00670E55" w:rsidRDefault="00A1724A" w:rsidP="00C53601">
      <w:pPr>
        <w:spacing w:after="0"/>
        <w:rPr>
          <w:i/>
          <w:sz w:val="36"/>
          <w:szCs w:val="36"/>
        </w:rPr>
      </w:pPr>
      <w:r w:rsidRPr="00F217AC">
        <w:rPr>
          <w:i/>
          <w:sz w:val="36"/>
          <w:szCs w:val="36"/>
          <w:highlight w:val="yellow"/>
        </w:rPr>
        <w:lastRenderedPageBreak/>
        <w:t>Example:</w:t>
      </w:r>
      <w:r w:rsidR="00F217AC" w:rsidRPr="00F217AC">
        <w:rPr>
          <w:i/>
          <w:sz w:val="36"/>
          <w:szCs w:val="36"/>
          <w:highlight w:val="yellow"/>
        </w:rPr>
        <w:t xml:space="preserve"> Please delete this section before finalising the document</w:t>
      </w:r>
      <w:r w:rsidR="00F217AC">
        <w:rPr>
          <w:i/>
          <w:sz w:val="36"/>
          <w:szCs w:val="36"/>
        </w:rPr>
        <w:t xml:space="preserve"> </w:t>
      </w:r>
    </w:p>
    <w:p w:rsidR="00A1724A" w:rsidRDefault="00A1724A" w:rsidP="00670E55">
      <w:pPr>
        <w:pStyle w:val="Overskrift2"/>
        <w:rPr>
          <w:b/>
          <w:color w:val="auto"/>
        </w:rPr>
      </w:pPr>
      <w:r w:rsidRPr="00670E55">
        <w:rPr>
          <w:b/>
          <w:color w:val="auto"/>
        </w:rPr>
        <w:t>Contextual risks</w:t>
      </w:r>
    </w:p>
    <w:p w:rsidR="00C53601" w:rsidRPr="00C53601" w:rsidRDefault="00C53601" w:rsidP="00C545F0">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This category covers the range of potential adverse outcomes that may arise in a particular context, including the risk of harm beyond the immediate context or the country’s borders. </w:t>
      </w:r>
    </w:p>
    <w:p w:rsidR="00C53601" w:rsidRPr="00C53601" w:rsidRDefault="00C53601" w:rsidP="00C545F0">
      <w:pPr>
        <w:spacing w:after="0" w:line="240" w:lineRule="auto"/>
        <w:rPr>
          <w:rFonts w:asciiTheme="minorHAnsi" w:hAnsiTheme="minorHAnsi" w:cstheme="minorHAnsi"/>
          <w:sz w:val="20"/>
          <w:szCs w:val="20"/>
        </w:rPr>
      </w:pPr>
    </w:p>
    <w:p w:rsidR="00C53601" w:rsidRPr="00C53601" w:rsidRDefault="00C53601" w:rsidP="00C545F0">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Individual contextual risks </w:t>
      </w:r>
      <w:proofErr w:type="gramStart"/>
      <w:r w:rsidRPr="00C53601">
        <w:rPr>
          <w:rFonts w:asciiTheme="minorHAnsi" w:hAnsiTheme="minorHAnsi" w:cstheme="minorHAnsi"/>
          <w:sz w:val="20"/>
          <w:szCs w:val="20"/>
        </w:rPr>
        <w:t>are defined</w:t>
      </w:r>
      <w:proofErr w:type="gramEnd"/>
      <w:r w:rsidRPr="00C53601">
        <w:rPr>
          <w:rFonts w:asciiTheme="minorHAnsi" w:hAnsiTheme="minorHAnsi" w:cstheme="minorHAnsi"/>
          <w:sz w:val="20"/>
          <w:szCs w:val="20"/>
        </w:rPr>
        <w:t xml:space="preserve"> by the particular setting, but some common types of risk outcome are listed below. The risk factors that underlie these various categories depend on the context, but they may include governance failure (e.g. the failure of effective public financial management or law enforcement); competition for resources; natural hazards; and pre-existing socio-political tensions. </w:t>
      </w:r>
    </w:p>
    <w:p w:rsidR="00C53601" w:rsidRPr="00C53601" w:rsidRDefault="00C53601" w:rsidP="00C545F0">
      <w:pPr>
        <w:spacing w:after="0" w:line="240" w:lineRule="auto"/>
        <w:rPr>
          <w:rFonts w:asciiTheme="minorHAnsi" w:hAnsiTheme="minorHAnsi" w:cstheme="minorHAnsi"/>
          <w:sz w:val="20"/>
          <w:szCs w:val="20"/>
        </w:rPr>
      </w:pPr>
    </w:p>
    <w:p w:rsidR="00C53601" w:rsidRPr="00C53601" w:rsidRDefault="00C53601" w:rsidP="00C545F0">
      <w:pPr>
        <w:spacing w:line="240" w:lineRule="auto"/>
        <w:rPr>
          <w:rFonts w:asciiTheme="minorHAnsi" w:hAnsiTheme="minorHAnsi" w:cstheme="minorHAnsi"/>
          <w:sz w:val="20"/>
          <w:szCs w:val="20"/>
        </w:rPr>
      </w:pPr>
      <w:r w:rsidRPr="00C53601">
        <w:rPr>
          <w:rFonts w:asciiTheme="minorHAnsi" w:hAnsiTheme="minorHAnsi" w:cstheme="minorHAnsi"/>
          <w:sz w:val="20"/>
          <w:szCs w:val="20"/>
        </w:rPr>
        <w:t xml:space="preserve">Here, many of the risk outcomes are themselves risk factors for other types of risk, e.g. an economic crisis may trigger conflict and a humanitarian crisis. The complex interplay among different factors makes contextual risk analysis difficult and highly dependent on good local 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1"/>
        <w:gridCol w:w="849"/>
        <w:gridCol w:w="2243"/>
        <w:gridCol w:w="3260"/>
        <w:gridCol w:w="4990"/>
      </w:tblGrid>
      <w:tr w:rsidR="00C86C10" w:rsidTr="007A7B7B">
        <w:tc>
          <w:tcPr>
            <w:tcW w:w="1809" w:type="dxa"/>
          </w:tcPr>
          <w:p w:rsidR="00C86C10" w:rsidRPr="009327E3" w:rsidRDefault="00C86C10" w:rsidP="00D015B4">
            <w:pPr>
              <w:pStyle w:val="Default"/>
              <w:rPr>
                <w:b/>
                <w:sz w:val="22"/>
                <w:szCs w:val="22"/>
              </w:rPr>
            </w:pPr>
            <w:r w:rsidRPr="009327E3">
              <w:rPr>
                <w:b/>
                <w:sz w:val="22"/>
                <w:szCs w:val="22"/>
              </w:rPr>
              <w:t>Risk Factor</w:t>
            </w:r>
          </w:p>
        </w:tc>
        <w:tc>
          <w:tcPr>
            <w:tcW w:w="1161" w:type="dxa"/>
          </w:tcPr>
          <w:p w:rsidR="00C86C10" w:rsidRPr="009327E3" w:rsidRDefault="00C86C10" w:rsidP="00D015B4">
            <w:pPr>
              <w:pStyle w:val="Default"/>
              <w:rPr>
                <w:b/>
                <w:sz w:val="22"/>
                <w:szCs w:val="22"/>
              </w:rPr>
            </w:pPr>
            <w:r w:rsidRPr="009327E3">
              <w:rPr>
                <w:b/>
                <w:sz w:val="22"/>
                <w:szCs w:val="22"/>
              </w:rPr>
              <w:t>Likelihood</w:t>
            </w:r>
          </w:p>
        </w:tc>
        <w:tc>
          <w:tcPr>
            <w:tcW w:w="849" w:type="dxa"/>
          </w:tcPr>
          <w:p w:rsidR="00C86C10" w:rsidRPr="009327E3" w:rsidRDefault="00C86C10" w:rsidP="00D015B4">
            <w:pPr>
              <w:pStyle w:val="Default"/>
              <w:rPr>
                <w:b/>
                <w:sz w:val="22"/>
                <w:szCs w:val="22"/>
              </w:rPr>
            </w:pPr>
            <w:r w:rsidRPr="009327E3">
              <w:rPr>
                <w:b/>
                <w:sz w:val="22"/>
                <w:szCs w:val="22"/>
              </w:rPr>
              <w:t>Impact</w:t>
            </w:r>
          </w:p>
        </w:tc>
        <w:tc>
          <w:tcPr>
            <w:tcW w:w="2243" w:type="dxa"/>
          </w:tcPr>
          <w:p w:rsidR="00C86C10" w:rsidRPr="009327E3" w:rsidRDefault="00C86C10" w:rsidP="00D015B4">
            <w:pPr>
              <w:pStyle w:val="Default"/>
              <w:rPr>
                <w:b/>
                <w:sz w:val="22"/>
                <w:szCs w:val="22"/>
              </w:rPr>
            </w:pPr>
            <w:r w:rsidRPr="009327E3">
              <w:rPr>
                <w:b/>
                <w:sz w:val="22"/>
                <w:szCs w:val="22"/>
              </w:rPr>
              <w:t>Risk response</w:t>
            </w:r>
            <w:r>
              <w:rPr>
                <w:b/>
                <w:sz w:val="22"/>
                <w:szCs w:val="22"/>
              </w:rPr>
              <w:t xml:space="preserve"> if applicable</w:t>
            </w:r>
          </w:p>
        </w:tc>
        <w:tc>
          <w:tcPr>
            <w:tcW w:w="3260" w:type="dxa"/>
          </w:tcPr>
          <w:p w:rsidR="00C86C10" w:rsidRPr="009327E3" w:rsidRDefault="00C86C10" w:rsidP="00D015B4">
            <w:pPr>
              <w:pStyle w:val="Default"/>
              <w:rPr>
                <w:b/>
                <w:sz w:val="22"/>
                <w:szCs w:val="22"/>
              </w:rPr>
            </w:pPr>
            <w:r>
              <w:rPr>
                <w:b/>
                <w:sz w:val="22"/>
                <w:szCs w:val="22"/>
              </w:rPr>
              <w:t>Residual risk</w:t>
            </w:r>
          </w:p>
        </w:tc>
        <w:tc>
          <w:tcPr>
            <w:tcW w:w="4990" w:type="dxa"/>
          </w:tcPr>
          <w:p w:rsidR="00C86C10" w:rsidRPr="009327E3" w:rsidRDefault="00C86C10" w:rsidP="00D015B4">
            <w:pPr>
              <w:pStyle w:val="Default"/>
              <w:rPr>
                <w:b/>
                <w:sz w:val="22"/>
                <w:szCs w:val="22"/>
              </w:rPr>
            </w:pPr>
            <w:r w:rsidRPr="009327E3">
              <w:rPr>
                <w:b/>
                <w:sz w:val="22"/>
                <w:szCs w:val="22"/>
              </w:rPr>
              <w:t>Background to assessment</w:t>
            </w:r>
          </w:p>
        </w:tc>
      </w:tr>
      <w:tr w:rsidR="00C86C10" w:rsidTr="007A7B7B">
        <w:tc>
          <w:tcPr>
            <w:tcW w:w="1809" w:type="dxa"/>
          </w:tcPr>
          <w:p w:rsidR="00C86C10" w:rsidRDefault="00C86C10" w:rsidP="00D015B4">
            <w:pPr>
              <w:pStyle w:val="Default"/>
              <w:rPr>
                <w:sz w:val="22"/>
                <w:szCs w:val="22"/>
              </w:rPr>
            </w:pPr>
            <w:r>
              <w:rPr>
                <w:sz w:val="22"/>
                <w:szCs w:val="22"/>
              </w:rPr>
              <w:t>Armed conflict spreads to larger parts of the country</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545F0" w:rsidP="00D015B4">
            <w:pPr>
              <w:pStyle w:val="Default"/>
              <w:rPr>
                <w:sz w:val="22"/>
                <w:szCs w:val="22"/>
              </w:rPr>
            </w:pPr>
            <w:r>
              <w:rPr>
                <w:sz w:val="22"/>
                <w:szCs w:val="22"/>
              </w:rPr>
              <w:t>Intervention</w:t>
            </w:r>
            <w:r w:rsidR="00C86C10">
              <w:rPr>
                <w:sz w:val="22"/>
                <w:szCs w:val="22"/>
              </w:rPr>
              <w:t xml:space="preserve"> activities to be limited to safe areas where feasible; some activities to be suspended.</w:t>
            </w:r>
          </w:p>
          <w:p w:rsidR="00944BEC" w:rsidRDefault="00944BEC" w:rsidP="00D015B4">
            <w:pPr>
              <w:pStyle w:val="Default"/>
              <w:rPr>
                <w:sz w:val="22"/>
                <w:szCs w:val="22"/>
              </w:rPr>
            </w:pPr>
          </w:p>
          <w:p w:rsidR="00944BEC" w:rsidRDefault="00944BEC" w:rsidP="00D015B4">
            <w:pPr>
              <w:pStyle w:val="Default"/>
              <w:rPr>
                <w:sz w:val="22"/>
                <w:szCs w:val="22"/>
              </w:rPr>
            </w:pPr>
            <w:r>
              <w:rPr>
                <w:sz w:val="22"/>
                <w:szCs w:val="22"/>
              </w:rPr>
              <w:t>Situation to be monitored closely</w:t>
            </w:r>
          </w:p>
        </w:tc>
        <w:tc>
          <w:tcPr>
            <w:tcW w:w="3260" w:type="dxa"/>
          </w:tcPr>
          <w:p w:rsidR="00C86C10" w:rsidRPr="00D715BC" w:rsidRDefault="00944BEC" w:rsidP="00944BEC">
            <w:pPr>
              <w:pStyle w:val="Default"/>
              <w:rPr>
                <w:sz w:val="22"/>
                <w:szCs w:val="22"/>
                <w:highlight w:val="yellow"/>
              </w:rPr>
            </w:pPr>
            <w:r w:rsidRPr="00E42521">
              <w:rPr>
                <w:sz w:val="22"/>
                <w:szCs w:val="22"/>
              </w:rPr>
              <w:t xml:space="preserve">Short-term risks </w:t>
            </w:r>
            <w:proofErr w:type="gramStart"/>
            <w:r w:rsidRPr="00E42521">
              <w:rPr>
                <w:sz w:val="22"/>
                <w:szCs w:val="22"/>
              </w:rPr>
              <w:t>are reduced</w:t>
            </w:r>
            <w:proofErr w:type="gramEnd"/>
            <w:r w:rsidRPr="00E42521">
              <w:rPr>
                <w:sz w:val="22"/>
                <w:szCs w:val="22"/>
              </w:rPr>
              <w:t xml:space="preserve"> substantially due to selection of safe areas. However general risk prevail, but can be acted upon due to initiation of close monitoring </w:t>
            </w:r>
          </w:p>
        </w:tc>
        <w:tc>
          <w:tcPr>
            <w:tcW w:w="4990" w:type="dxa"/>
          </w:tcPr>
          <w:p w:rsidR="00C86C10" w:rsidRDefault="00C86C10" w:rsidP="00D015B4">
            <w:pPr>
              <w:pStyle w:val="Default"/>
              <w:rPr>
                <w:sz w:val="22"/>
                <w:szCs w:val="22"/>
              </w:rPr>
            </w:pPr>
            <w:r>
              <w:rPr>
                <w:sz w:val="22"/>
                <w:szCs w:val="22"/>
              </w:rPr>
              <w:t xml:space="preserve">Development of security situation is negative at present, with potentially serious implications for </w:t>
            </w:r>
            <w:r w:rsidR="00C545F0">
              <w:rPr>
                <w:sz w:val="22"/>
                <w:szCs w:val="22"/>
              </w:rPr>
              <w:t>intervention</w:t>
            </w:r>
            <w:r>
              <w:rPr>
                <w:sz w:val="22"/>
                <w:szCs w:val="22"/>
              </w:rPr>
              <w:t xml:space="preserve"> activities. No preventive measures are available to DK. </w:t>
            </w:r>
          </w:p>
        </w:tc>
      </w:tr>
      <w:tr w:rsidR="00C86C10" w:rsidTr="00E42521">
        <w:tc>
          <w:tcPr>
            <w:tcW w:w="1809" w:type="dxa"/>
          </w:tcPr>
          <w:p w:rsidR="00C86C10" w:rsidRDefault="00C86C10" w:rsidP="00D015B4">
            <w:pPr>
              <w:pStyle w:val="Default"/>
              <w:rPr>
                <w:sz w:val="22"/>
                <w:szCs w:val="22"/>
              </w:rPr>
            </w:pPr>
            <w:proofErr w:type="gramStart"/>
            <w:r>
              <w:rPr>
                <w:sz w:val="22"/>
                <w:szCs w:val="22"/>
              </w:rPr>
              <w:t>Wide-spread</w:t>
            </w:r>
            <w:proofErr w:type="gramEnd"/>
            <w:r>
              <w:rPr>
                <w:sz w:val="22"/>
                <w:szCs w:val="22"/>
              </w:rPr>
              <w:t xml:space="preserve"> loss of trust in authorities and democratic institutions due to corruption and misuse becoming more frequent and visible following the decentralisation reform.</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D015B4">
            <w:pPr>
              <w:pStyle w:val="Default"/>
              <w:rPr>
                <w:sz w:val="22"/>
                <w:szCs w:val="22"/>
              </w:rPr>
            </w:pPr>
            <w:r>
              <w:rPr>
                <w:sz w:val="22"/>
                <w:szCs w:val="22"/>
              </w:rPr>
              <w:t>Dialogue with relevant central authorities on preventive measures (training of LG councillors and staff; intensified supervision, audit)</w:t>
            </w:r>
            <w:r w:rsidR="00A74AB2">
              <w:rPr>
                <w:sz w:val="22"/>
                <w:szCs w:val="22"/>
              </w:rPr>
              <w:t>.</w:t>
            </w:r>
          </w:p>
          <w:p w:rsidR="00A74AB2" w:rsidRDefault="00A74AB2" w:rsidP="00D015B4">
            <w:pPr>
              <w:pStyle w:val="Default"/>
              <w:rPr>
                <w:sz w:val="22"/>
                <w:szCs w:val="22"/>
              </w:rPr>
            </w:pPr>
          </w:p>
          <w:p w:rsidR="00A74AB2" w:rsidRDefault="00A74AB2" w:rsidP="00D015B4">
            <w:pPr>
              <w:pStyle w:val="Default"/>
              <w:rPr>
                <w:sz w:val="22"/>
                <w:szCs w:val="22"/>
              </w:rPr>
            </w:pPr>
          </w:p>
        </w:tc>
        <w:tc>
          <w:tcPr>
            <w:tcW w:w="3260" w:type="dxa"/>
            <w:shd w:val="clear" w:color="auto" w:fill="auto"/>
          </w:tcPr>
          <w:p w:rsidR="00C86C10" w:rsidRPr="00E42521" w:rsidRDefault="00944BEC" w:rsidP="00A74AB2">
            <w:pPr>
              <w:pStyle w:val="Default"/>
              <w:rPr>
                <w:sz w:val="22"/>
                <w:szCs w:val="22"/>
              </w:rPr>
            </w:pPr>
            <w:r w:rsidRPr="00E42521">
              <w:rPr>
                <w:sz w:val="22"/>
                <w:szCs w:val="22"/>
              </w:rPr>
              <w:t xml:space="preserve">Residual risk </w:t>
            </w:r>
            <w:r w:rsidR="00A74AB2" w:rsidRPr="00E42521">
              <w:rPr>
                <w:sz w:val="22"/>
                <w:szCs w:val="22"/>
              </w:rPr>
              <w:t>not reduced. However</w:t>
            </w:r>
            <w:r w:rsidR="00E42521">
              <w:rPr>
                <w:sz w:val="22"/>
                <w:szCs w:val="22"/>
              </w:rPr>
              <w:t>,</w:t>
            </w:r>
            <w:r w:rsidR="00A74AB2" w:rsidRPr="00E42521">
              <w:rPr>
                <w:sz w:val="22"/>
                <w:szCs w:val="22"/>
              </w:rPr>
              <w:t xml:space="preserve"> the actions taken could gradually increase trust.</w:t>
            </w:r>
          </w:p>
          <w:p w:rsidR="00D715BC" w:rsidRPr="00D715BC" w:rsidRDefault="00D715BC" w:rsidP="00A74AB2">
            <w:pPr>
              <w:pStyle w:val="Default"/>
              <w:rPr>
                <w:sz w:val="22"/>
                <w:szCs w:val="22"/>
                <w:highlight w:val="yellow"/>
              </w:rPr>
            </w:pPr>
          </w:p>
        </w:tc>
        <w:tc>
          <w:tcPr>
            <w:tcW w:w="4990" w:type="dxa"/>
          </w:tcPr>
          <w:p w:rsidR="00C86C10" w:rsidRDefault="00C86C10" w:rsidP="00D015B4">
            <w:pPr>
              <w:pStyle w:val="Default"/>
              <w:rPr>
                <w:sz w:val="22"/>
                <w:szCs w:val="22"/>
              </w:rPr>
            </w:pPr>
            <w:r>
              <w:rPr>
                <w:sz w:val="22"/>
                <w:szCs w:val="22"/>
              </w:rPr>
              <w:t xml:space="preserve">Decentralisation increases availability of public funds to District authorities, with central controls probably remaining weak. </w:t>
            </w:r>
          </w:p>
        </w:tc>
      </w:tr>
    </w:tbl>
    <w:p w:rsidR="00A1724A" w:rsidRDefault="00FC288D" w:rsidP="00670E55">
      <w:pPr>
        <w:pStyle w:val="Overskrift2"/>
        <w:rPr>
          <w:b/>
          <w:color w:val="auto"/>
        </w:rPr>
      </w:pPr>
      <w:r>
        <w:rPr>
          <w:b/>
          <w:color w:val="auto"/>
        </w:rPr>
        <w:lastRenderedPageBreak/>
        <w:t>Intervention</w:t>
      </w:r>
      <w:r w:rsidR="00A1724A" w:rsidRPr="00670E55">
        <w:rPr>
          <w:b/>
          <w:color w:val="auto"/>
        </w:rPr>
        <w:t xml:space="preserve"> risks</w:t>
      </w:r>
    </w:p>
    <w:p w:rsidR="00C53601" w:rsidRPr="003140FB" w:rsidRDefault="00FC288D" w:rsidP="003C6E25">
      <w:pPr>
        <w:spacing w:after="0" w:line="240" w:lineRule="auto"/>
        <w:rPr>
          <w:rFonts w:asciiTheme="minorHAnsi" w:hAnsiTheme="minorHAnsi" w:cstheme="minorHAnsi"/>
          <w:sz w:val="20"/>
          <w:szCs w:val="20"/>
        </w:rPr>
      </w:pPr>
      <w:r>
        <w:rPr>
          <w:rFonts w:asciiTheme="minorHAnsi" w:hAnsiTheme="minorHAnsi" w:cstheme="minorHAnsi"/>
          <w:sz w:val="20"/>
          <w:szCs w:val="20"/>
        </w:rPr>
        <w:t>The t</w:t>
      </w:r>
      <w:r w:rsidR="00C53601" w:rsidRPr="003140FB">
        <w:rPr>
          <w:rFonts w:asciiTheme="minorHAnsi" w:hAnsiTheme="minorHAnsi" w:cstheme="minorHAnsi"/>
          <w:sz w:val="20"/>
          <w:szCs w:val="20"/>
        </w:rPr>
        <w:t>erm “</w:t>
      </w:r>
      <w:r>
        <w:rPr>
          <w:rFonts w:asciiTheme="minorHAnsi" w:hAnsiTheme="minorHAnsi" w:cstheme="minorHAnsi"/>
          <w:sz w:val="20"/>
          <w:szCs w:val="20"/>
        </w:rPr>
        <w:t>intervention r</w:t>
      </w:r>
      <w:r w:rsidR="00C53601" w:rsidRPr="003140FB">
        <w:rPr>
          <w:rFonts w:asciiTheme="minorHAnsi" w:hAnsiTheme="minorHAnsi" w:cstheme="minorHAnsi"/>
          <w:sz w:val="20"/>
          <w:szCs w:val="20"/>
        </w:rPr>
        <w:t>isk”</w:t>
      </w:r>
      <w:r>
        <w:rPr>
          <w:rFonts w:asciiTheme="minorHAnsi" w:hAnsiTheme="minorHAnsi" w:cstheme="minorHAnsi"/>
          <w:sz w:val="20"/>
          <w:szCs w:val="20"/>
        </w:rPr>
        <w:t xml:space="preserve"> </w:t>
      </w:r>
      <w:proofErr w:type="gramStart"/>
      <w:r>
        <w:rPr>
          <w:rFonts w:asciiTheme="minorHAnsi" w:hAnsiTheme="minorHAnsi" w:cstheme="minorHAnsi"/>
          <w:sz w:val="20"/>
          <w:szCs w:val="20"/>
        </w:rPr>
        <w:t>is used</w:t>
      </w:r>
      <w:proofErr w:type="gramEnd"/>
      <w:r w:rsidR="00C53601" w:rsidRPr="003140FB">
        <w:rPr>
          <w:rFonts w:asciiTheme="minorHAnsi" w:hAnsiTheme="minorHAnsi" w:cstheme="minorHAnsi"/>
          <w:sz w:val="20"/>
          <w:szCs w:val="20"/>
        </w:rPr>
        <w:t xml:space="preserve"> to include two kinds of risk: (1) th</w:t>
      </w:r>
      <w:r>
        <w:rPr>
          <w:rFonts w:asciiTheme="minorHAnsi" w:hAnsiTheme="minorHAnsi" w:cstheme="minorHAnsi"/>
          <w:sz w:val="20"/>
          <w:szCs w:val="20"/>
        </w:rPr>
        <w:t xml:space="preserve">e potential for an intervention </w:t>
      </w:r>
      <w:r w:rsidR="00C53601" w:rsidRPr="003140FB">
        <w:rPr>
          <w:rFonts w:asciiTheme="minorHAnsi" w:hAnsiTheme="minorHAnsi" w:cstheme="minorHAnsi"/>
          <w:sz w:val="20"/>
          <w:szCs w:val="20"/>
        </w:rPr>
        <w:t>to fail to achieve its objectives</w:t>
      </w:r>
      <w:r>
        <w:rPr>
          <w:rFonts w:asciiTheme="minorHAnsi" w:hAnsiTheme="minorHAnsi" w:cstheme="minorHAnsi"/>
          <w:sz w:val="20"/>
          <w:szCs w:val="20"/>
        </w:rPr>
        <w:t xml:space="preserve">; and (2) the potential for an intervention </w:t>
      </w:r>
      <w:r w:rsidR="00C53601" w:rsidRPr="003140FB">
        <w:rPr>
          <w:rFonts w:asciiTheme="minorHAnsi" w:hAnsiTheme="minorHAnsi" w:cstheme="minorHAnsi"/>
          <w:sz w:val="20"/>
          <w:szCs w:val="20"/>
        </w:rPr>
        <w:t xml:space="preserve">to cause harm in the external environment. With regard to (1), the risk factors for </w:t>
      </w:r>
      <w:r>
        <w:rPr>
          <w:rFonts w:asciiTheme="minorHAnsi" w:hAnsiTheme="minorHAnsi" w:cstheme="minorHAnsi"/>
          <w:sz w:val="20"/>
          <w:szCs w:val="20"/>
        </w:rPr>
        <w:t>intervention</w:t>
      </w:r>
      <w:r w:rsidR="00C53601" w:rsidRPr="003140FB">
        <w:rPr>
          <w:rFonts w:asciiTheme="minorHAnsi" w:hAnsiTheme="minorHAnsi" w:cstheme="minorHAnsi"/>
          <w:sz w:val="20"/>
          <w:szCs w:val="20"/>
        </w:rPr>
        <w:t xml:space="preserve"> failure include many of the contextual risks outlined above, as well as institutional and political factors. </w:t>
      </w:r>
      <w:proofErr w:type="gramStart"/>
      <w:r w:rsidR="00C53601" w:rsidRPr="003140FB">
        <w:rPr>
          <w:rFonts w:asciiTheme="minorHAnsi" w:hAnsiTheme="minorHAnsi" w:cstheme="minorHAnsi"/>
          <w:sz w:val="20"/>
          <w:szCs w:val="20"/>
        </w:rPr>
        <w:t>But</w:t>
      </w:r>
      <w:proofErr w:type="gramEnd"/>
      <w:r w:rsidR="00C53601" w:rsidRPr="003140FB">
        <w:rPr>
          <w:rFonts w:asciiTheme="minorHAnsi" w:hAnsiTheme="minorHAnsi" w:cstheme="minorHAnsi"/>
          <w:sz w:val="20"/>
          <w:szCs w:val="20"/>
        </w:rPr>
        <w:t xml:space="preserve"> there are many other reasons for potential </w:t>
      </w:r>
      <w:r>
        <w:rPr>
          <w:rFonts w:asciiTheme="minorHAnsi" w:hAnsiTheme="minorHAnsi" w:cstheme="minorHAnsi"/>
          <w:sz w:val="20"/>
          <w:szCs w:val="20"/>
        </w:rPr>
        <w:t>intervention</w:t>
      </w:r>
      <w:r w:rsidR="00C53601" w:rsidRPr="003140FB">
        <w:rPr>
          <w:rFonts w:asciiTheme="minorHAnsi" w:hAnsiTheme="minorHAnsi" w:cstheme="minorHAnsi"/>
          <w:sz w:val="20"/>
          <w:szCs w:val="20"/>
        </w:rPr>
        <w:t xml:space="preserve"> failure. These include inadequate understanding of the context or flawed assessment of what needs to </w:t>
      </w:r>
      <w:proofErr w:type="gramStart"/>
      <w:r w:rsidR="00C53601" w:rsidRPr="003140FB">
        <w:rPr>
          <w:rFonts w:asciiTheme="minorHAnsi" w:hAnsiTheme="minorHAnsi" w:cstheme="minorHAnsi"/>
          <w:sz w:val="20"/>
          <w:szCs w:val="20"/>
        </w:rPr>
        <w:t>be done</w:t>
      </w:r>
      <w:proofErr w:type="gramEnd"/>
      <w:r w:rsidR="00C53601" w:rsidRPr="003140FB">
        <w:rPr>
          <w:rFonts w:asciiTheme="minorHAnsi" w:hAnsiTheme="minorHAnsi" w:cstheme="minorHAnsi"/>
          <w:sz w:val="20"/>
          <w:szCs w:val="20"/>
        </w:rPr>
        <w:t xml:space="preserve">; management and operational failures; and failures of planning and co-ordination. Risk is also associated with new or innovative </w:t>
      </w:r>
      <w:r>
        <w:rPr>
          <w:rFonts w:asciiTheme="minorHAnsi" w:hAnsiTheme="minorHAnsi" w:cstheme="minorHAnsi"/>
          <w:sz w:val="20"/>
          <w:szCs w:val="20"/>
        </w:rPr>
        <w:t>intervention</w:t>
      </w:r>
      <w:r w:rsidR="00C53601" w:rsidRPr="003140FB">
        <w:rPr>
          <w:rFonts w:asciiTheme="minorHAnsi" w:hAnsiTheme="minorHAnsi" w:cstheme="minorHAnsi"/>
          <w:sz w:val="20"/>
          <w:szCs w:val="20"/>
        </w:rPr>
        <w:t xml:space="preserve"> approaches (although there may also be risk in failing to innovate).</w:t>
      </w:r>
    </w:p>
    <w:p w:rsidR="00C53601" w:rsidRPr="003140FB" w:rsidRDefault="00C53601" w:rsidP="003C6E25">
      <w:pPr>
        <w:spacing w:after="0" w:line="240" w:lineRule="auto"/>
        <w:rPr>
          <w:rFonts w:asciiTheme="minorHAnsi" w:hAnsiTheme="minorHAnsi" w:cstheme="minorHAnsi"/>
          <w:sz w:val="20"/>
          <w:szCs w:val="20"/>
        </w:rPr>
      </w:pPr>
    </w:p>
    <w:p w:rsidR="00C53601" w:rsidRPr="003140FB" w:rsidRDefault="00C53601" w:rsidP="003C6E25">
      <w:pPr>
        <w:spacing w:line="240" w:lineRule="auto"/>
        <w:rPr>
          <w:rFonts w:asciiTheme="minorHAnsi" w:hAnsiTheme="minorHAnsi" w:cstheme="minorHAnsi"/>
          <w:sz w:val="20"/>
          <w:szCs w:val="20"/>
        </w:rPr>
      </w:pPr>
      <w:r w:rsidRPr="003140FB">
        <w:rPr>
          <w:rFonts w:asciiTheme="minorHAnsi" w:hAnsiTheme="minorHAnsi" w:cstheme="minorHAnsi"/>
          <w:sz w:val="20"/>
          <w:szCs w:val="20"/>
        </w:rPr>
        <w:t xml:space="preserve">One common reason for failure to achieve </w:t>
      </w:r>
      <w:r w:rsidR="00FC288D">
        <w:rPr>
          <w:rFonts w:asciiTheme="minorHAnsi" w:hAnsiTheme="minorHAnsi" w:cstheme="minorHAnsi"/>
          <w:sz w:val="20"/>
          <w:szCs w:val="20"/>
        </w:rPr>
        <w:t>intervention</w:t>
      </w:r>
      <w:r w:rsidRPr="003140FB">
        <w:rPr>
          <w:rFonts w:asciiTheme="minorHAnsi" w:hAnsiTheme="minorHAnsi" w:cstheme="minorHAnsi"/>
          <w:sz w:val="20"/>
          <w:szCs w:val="20"/>
        </w:rPr>
        <w:t xml:space="preserve"> objectives is that the objectives themselves are simply too ambitious, either in their nature or </w:t>
      </w:r>
      <w:proofErr w:type="gramStart"/>
      <w:r w:rsidRPr="003140FB">
        <w:rPr>
          <w:rFonts w:asciiTheme="minorHAnsi" w:hAnsiTheme="minorHAnsi" w:cstheme="minorHAnsi"/>
          <w:sz w:val="20"/>
          <w:szCs w:val="20"/>
        </w:rPr>
        <w:t>time frames</w:t>
      </w:r>
      <w:proofErr w:type="gramEnd"/>
      <w:r w:rsidRPr="003140FB">
        <w:rPr>
          <w:rFonts w:asciiTheme="minorHAnsi" w:hAnsiTheme="minorHAnsi" w:cstheme="minorHAnsi"/>
          <w:sz w:val="20"/>
          <w:szCs w:val="20"/>
        </w:rPr>
        <w:t xml:space="preserve">. Indeed, over-ambitious objectives seem to be a common side effect of the political search for peace dividends in post-conflict settings. With regard to (2), interventions may both exacerbate and mitigate contextual risks.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1"/>
        <w:gridCol w:w="849"/>
        <w:gridCol w:w="2243"/>
        <w:gridCol w:w="3260"/>
        <w:gridCol w:w="4848"/>
      </w:tblGrid>
      <w:tr w:rsidR="00C86C10" w:rsidTr="007A7B7B">
        <w:tc>
          <w:tcPr>
            <w:tcW w:w="1809" w:type="dxa"/>
          </w:tcPr>
          <w:p w:rsidR="00C86C10" w:rsidRPr="009327E3" w:rsidRDefault="00C86C10" w:rsidP="00D015B4">
            <w:pPr>
              <w:pStyle w:val="Default"/>
              <w:rPr>
                <w:b/>
                <w:sz w:val="22"/>
                <w:szCs w:val="22"/>
              </w:rPr>
            </w:pPr>
            <w:r w:rsidRPr="009327E3">
              <w:rPr>
                <w:b/>
                <w:sz w:val="22"/>
                <w:szCs w:val="22"/>
              </w:rPr>
              <w:t>Risk Factor</w:t>
            </w:r>
          </w:p>
        </w:tc>
        <w:tc>
          <w:tcPr>
            <w:tcW w:w="1161" w:type="dxa"/>
          </w:tcPr>
          <w:p w:rsidR="00C86C10" w:rsidRPr="009327E3" w:rsidRDefault="00C86C10" w:rsidP="00D015B4">
            <w:pPr>
              <w:pStyle w:val="Default"/>
              <w:rPr>
                <w:b/>
                <w:sz w:val="22"/>
                <w:szCs w:val="22"/>
              </w:rPr>
            </w:pPr>
            <w:r w:rsidRPr="009327E3">
              <w:rPr>
                <w:b/>
                <w:sz w:val="22"/>
                <w:szCs w:val="22"/>
              </w:rPr>
              <w:t>Likelihood</w:t>
            </w:r>
          </w:p>
        </w:tc>
        <w:tc>
          <w:tcPr>
            <w:tcW w:w="849" w:type="dxa"/>
          </w:tcPr>
          <w:p w:rsidR="00C86C10" w:rsidRPr="009327E3" w:rsidRDefault="00C86C10" w:rsidP="00D015B4">
            <w:pPr>
              <w:pStyle w:val="Default"/>
              <w:rPr>
                <w:b/>
                <w:sz w:val="22"/>
                <w:szCs w:val="22"/>
              </w:rPr>
            </w:pPr>
            <w:r w:rsidRPr="009327E3">
              <w:rPr>
                <w:b/>
                <w:sz w:val="22"/>
                <w:szCs w:val="22"/>
              </w:rPr>
              <w:t>Impact</w:t>
            </w:r>
          </w:p>
        </w:tc>
        <w:tc>
          <w:tcPr>
            <w:tcW w:w="2243" w:type="dxa"/>
          </w:tcPr>
          <w:p w:rsidR="00C86C10" w:rsidRPr="009327E3" w:rsidRDefault="00C86C10" w:rsidP="00D015B4">
            <w:pPr>
              <w:pStyle w:val="Default"/>
              <w:rPr>
                <w:b/>
                <w:sz w:val="22"/>
                <w:szCs w:val="22"/>
              </w:rPr>
            </w:pPr>
            <w:r w:rsidRPr="009327E3">
              <w:rPr>
                <w:b/>
                <w:sz w:val="22"/>
                <w:szCs w:val="22"/>
              </w:rPr>
              <w:t>Risk response</w:t>
            </w:r>
          </w:p>
        </w:tc>
        <w:tc>
          <w:tcPr>
            <w:tcW w:w="3260" w:type="dxa"/>
          </w:tcPr>
          <w:p w:rsidR="00C86C10" w:rsidRPr="009327E3" w:rsidRDefault="00C86C10" w:rsidP="00D015B4">
            <w:pPr>
              <w:pStyle w:val="Default"/>
              <w:rPr>
                <w:b/>
                <w:sz w:val="22"/>
                <w:szCs w:val="22"/>
              </w:rPr>
            </w:pPr>
            <w:r>
              <w:rPr>
                <w:b/>
                <w:sz w:val="22"/>
                <w:szCs w:val="22"/>
              </w:rPr>
              <w:t>Residual risks</w:t>
            </w:r>
          </w:p>
        </w:tc>
        <w:tc>
          <w:tcPr>
            <w:tcW w:w="4848" w:type="dxa"/>
          </w:tcPr>
          <w:p w:rsidR="00C86C10" w:rsidRPr="009327E3" w:rsidRDefault="00C86C10" w:rsidP="00D015B4">
            <w:pPr>
              <w:pStyle w:val="Default"/>
              <w:rPr>
                <w:b/>
                <w:sz w:val="22"/>
                <w:szCs w:val="22"/>
              </w:rPr>
            </w:pPr>
            <w:r w:rsidRPr="009327E3">
              <w:rPr>
                <w:b/>
                <w:sz w:val="22"/>
                <w:szCs w:val="22"/>
              </w:rPr>
              <w:t>Background to assessment</w:t>
            </w:r>
          </w:p>
        </w:tc>
      </w:tr>
      <w:tr w:rsidR="00C86C10" w:rsidTr="007A7B7B">
        <w:tc>
          <w:tcPr>
            <w:tcW w:w="1809" w:type="dxa"/>
          </w:tcPr>
          <w:p w:rsidR="00C86C10" w:rsidRDefault="00C86C10" w:rsidP="00D015B4">
            <w:pPr>
              <w:pStyle w:val="Default"/>
              <w:rPr>
                <w:sz w:val="22"/>
                <w:szCs w:val="22"/>
              </w:rPr>
            </w:pPr>
            <w:r>
              <w:rPr>
                <w:sz w:val="22"/>
                <w:szCs w:val="22"/>
              </w:rPr>
              <w:t xml:space="preserve">Water sector: The frequency of corruption increases in the sector after decentralisation </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091479">
            <w:pPr>
              <w:pStyle w:val="Default"/>
              <w:rPr>
                <w:sz w:val="22"/>
                <w:szCs w:val="22"/>
              </w:rPr>
            </w:pPr>
            <w:r>
              <w:rPr>
                <w:sz w:val="22"/>
                <w:szCs w:val="22"/>
              </w:rPr>
              <w:t xml:space="preserve">Min. of Water to be urged to intensify supervision of works at District level. </w:t>
            </w:r>
            <w:r w:rsidR="00C545F0">
              <w:rPr>
                <w:sz w:val="22"/>
                <w:szCs w:val="22"/>
              </w:rPr>
              <w:t>Intervention</w:t>
            </w:r>
            <w:r w:rsidR="00091479">
              <w:rPr>
                <w:sz w:val="22"/>
                <w:szCs w:val="22"/>
              </w:rPr>
              <w:t xml:space="preserve"> </w:t>
            </w:r>
            <w:r w:rsidR="00D715BC">
              <w:rPr>
                <w:sz w:val="22"/>
                <w:szCs w:val="22"/>
              </w:rPr>
              <w:t xml:space="preserve">establish financial management unit to monitor use of funds and build capacity at local level. </w:t>
            </w:r>
            <w:r>
              <w:rPr>
                <w:sz w:val="22"/>
                <w:szCs w:val="22"/>
              </w:rPr>
              <w:t>Possibly introduction of joint-donor value for money studies.</w:t>
            </w:r>
          </w:p>
        </w:tc>
        <w:tc>
          <w:tcPr>
            <w:tcW w:w="3260" w:type="dxa"/>
          </w:tcPr>
          <w:p w:rsidR="00C86C10" w:rsidRDefault="00D715BC" w:rsidP="00D015B4">
            <w:pPr>
              <w:pStyle w:val="Default"/>
              <w:rPr>
                <w:sz w:val="22"/>
                <w:szCs w:val="22"/>
              </w:rPr>
            </w:pPr>
            <w:r>
              <w:rPr>
                <w:sz w:val="22"/>
                <w:szCs w:val="22"/>
              </w:rPr>
              <w:t>Long</w:t>
            </w:r>
            <w:r w:rsidR="00091479">
              <w:rPr>
                <w:sz w:val="22"/>
                <w:szCs w:val="22"/>
              </w:rPr>
              <w:t>-</w:t>
            </w:r>
            <w:r>
              <w:rPr>
                <w:sz w:val="22"/>
                <w:szCs w:val="22"/>
              </w:rPr>
              <w:t>term risks reduced substantial due to monitoring and capacity development activities.</w:t>
            </w:r>
          </w:p>
          <w:p w:rsidR="00D715BC" w:rsidRDefault="00D715BC" w:rsidP="00D015B4">
            <w:pPr>
              <w:pStyle w:val="Default"/>
              <w:rPr>
                <w:sz w:val="22"/>
                <w:szCs w:val="22"/>
              </w:rPr>
            </w:pPr>
          </w:p>
          <w:p w:rsidR="00D715BC" w:rsidRDefault="00D715BC" w:rsidP="00D015B4">
            <w:pPr>
              <w:pStyle w:val="Default"/>
              <w:rPr>
                <w:sz w:val="22"/>
                <w:szCs w:val="22"/>
              </w:rPr>
            </w:pPr>
            <w:r>
              <w:rPr>
                <w:sz w:val="22"/>
                <w:szCs w:val="22"/>
              </w:rPr>
              <w:t xml:space="preserve">Short term risks still </w:t>
            </w:r>
            <w:proofErr w:type="gramStart"/>
            <w:r>
              <w:rPr>
                <w:sz w:val="22"/>
                <w:szCs w:val="22"/>
              </w:rPr>
              <w:t>exist,</w:t>
            </w:r>
            <w:proofErr w:type="gramEnd"/>
            <w:r>
              <w:rPr>
                <w:sz w:val="22"/>
                <w:szCs w:val="22"/>
              </w:rPr>
              <w:t xml:space="preserve"> though reduced due to regular monitoring.</w:t>
            </w:r>
          </w:p>
        </w:tc>
        <w:tc>
          <w:tcPr>
            <w:tcW w:w="4848" w:type="dxa"/>
          </w:tcPr>
          <w:p w:rsidR="00C86C10" w:rsidRDefault="00C86C10" w:rsidP="00D015B4">
            <w:pPr>
              <w:pStyle w:val="Default"/>
              <w:rPr>
                <w:sz w:val="22"/>
                <w:szCs w:val="22"/>
              </w:rPr>
            </w:pPr>
            <w:r>
              <w:rPr>
                <w:sz w:val="22"/>
                <w:szCs w:val="22"/>
              </w:rPr>
              <w:t xml:space="preserve">Districts’ capacity and quality of governance will only increase gradually. Procurement processes and implementation may suffer. Possibilities of short-term preventive measures are limited.  </w:t>
            </w:r>
          </w:p>
        </w:tc>
      </w:tr>
      <w:tr w:rsidR="00C86C10" w:rsidTr="007A7B7B">
        <w:tc>
          <w:tcPr>
            <w:tcW w:w="1809" w:type="dxa"/>
          </w:tcPr>
          <w:p w:rsidR="00C86C10" w:rsidRDefault="00C86C10" w:rsidP="00D015B4">
            <w:pPr>
              <w:pStyle w:val="Default"/>
              <w:rPr>
                <w:sz w:val="22"/>
                <w:szCs w:val="22"/>
              </w:rPr>
            </w:pPr>
            <w:r>
              <w:rPr>
                <w:sz w:val="22"/>
                <w:szCs w:val="22"/>
              </w:rPr>
              <w:t>NGO funding facility: The space available to civil society for activism and advocacy is substantially reduced</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D015B4">
            <w:pPr>
              <w:pStyle w:val="Default"/>
              <w:rPr>
                <w:sz w:val="22"/>
                <w:szCs w:val="22"/>
              </w:rPr>
            </w:pPr>
            <w:r>
              <w:rPr>
                <w:sz w:val="22"/>
                <w:szCs w:val="22"/>
              </w:rPr>
              <w:t xml:space="preserve">Closer coordination among donors and intensified joint pressure on the authorities to respect the rights of the civil society; </w:t>
            </w:r>
          </w:p>
        </w:tc>
        <w:tc>
          <w:tcPr>
            <w:tcW w:w="3260" w:type="dxa"/>
          </w:tcPr>
          <w:p w:rsidR="00C86C10" w:rsidRDefault="00091479" w:rsidP="00D015B4">
            <w:pPr>
              <w:pStyle w:val="Default"/>
              <w:rPr>
                <w:sz w:val="22"/>
                <w:szCs w:val="22"/>
              </w:rPr>
            </w:pPr>
            <w:r>
              <w:rPr>
                <w:sz w:val="22"/>
                <w:szCs w:val="22"/>
              </w:rPr>
              <w:t xml:space="preserve">Risk marginal lower, but </w:t>
            </w:r>
            <w:r w:rsidR="00320B51">
              <w:rPr>
                <w:sz w:val="22"/>
                <w:szCs w:val="22"/>
              </w:rPr>
              <w:t xml:space="preserve">risks are </w:t>
            </w:r>
            <w:r>
              <w:rPr>
                <w:sz w:val="22"/>
                <w:szCs w:val="22"/>
              </w:rPr>
              <w:t xml:space="preserve">still likely and major. </w:t>
            </w:r>
          </w:p>
          <w:p w:rsidR="00320B51" w:rsidRDefault="00320B51" w:rsidP="00D015B4">
            <w:pPr>
              <w:pStyle w:val="Default"/>
              <w:rPr>
                <w:sz w:val="22"/>
                <w:szCs w:val="22"/>
              </w:rPr>
            </w:pPr>
          </w:p>
          <w:p w:rsidR="00320B51" w:rsidRDefault="00320B51" w:rsidP="00320B51">
            <w:pPr>
              <w:pStyle w:val="Default"/>
              <w:rPr>
                <w:sz w:val="22"/>
                <w:szCs w:val="22"/>
              </w:rPr>
            </w:pPr>
            <w:r>
              <w:rPr>
                <w:sz w:val="22"/>
                <w:szCs w:val="22"/>
              </w:rPr>
              <w:t xml:space="preserve">Independent of the </w:t>
            </w:r>
            <w:proofErr w:type="gramStart"/>
            <w:r>
              <w:rPr>
                <w:sz w:val="22"/>
                <w:szCs w:val="22"/>
              </w:rPr>
              <w:t>high risk</w:t>
            </w:r>
            <w:proofErr w:type="gramEnd"/>
            <w:r>
              <w:rPr>
                <w:sz w:val="22"/>
                <w:szCs w:val="22"/>
              </w:rPr>
              <w:t xml:space="preserve"> level, it is decided to continue support due to importance of issue. </w:t>
            </w:r>
          </w:p>
        </w:tc>
        <w:tc>
          <w:tcPr>
            <w:tcW w:w="4848" w:type="dxa"/>
          </w:tcPr>
          <w:p w:rsidR="00C86C10" w:rsidRDefault="00C86C10" w:rsidP="00D015B4">
            <w:pPr>
              <w:pStyle w:val="Default"/>
              <w:rPr>
                <w:sz w:val="22"/>
                <w:szCs w:val="22"/>
              </w:rPr>
            </w:pPr>
            <w:r>
              <w:rPr>
                <w:sz w:val="22"/>
                <w:szCs w:val="22"/>
              </w:rPr>
              <w:t>Present political trends are worrying; shrinking CSO space would seriously reduce scope for impact. Limited possibility for donors to influence the development since reduction of CSO support would be counterproductive.</w:t>
            </w:r>
          </w:p>
        </w:tc>
      </w:tr>
    </w:tbl>
    <w:p w:rsidR="00F217AC" w:rsidRDefault="00F217AC" w:rsidP="00670E55">
      <w:pPr>
        <w:pStyle w:val="Overskrift2"/>
        <w:rPr>
          <w:b/>
          <w:color w:val="auto"/>
        </w:rPr>
      </w:pPr>
    </w:p>
    <w:p w:rsidR="00A1724A" w:rsidRPr="00474B36" w:rsidRDefault="00A1724A" w:rsidP="007A7B7B">
      <w:pPr>
        <w:rPr>
          <w:rFonts w:asciiTheme="majorHAnsi" w:eastAsiaTheme="majorEastAsia" w:hAnsiTheme="majorHAnsi" w:cstheme="majorBidi"/>
          <w:b/>
          <w:sz w:val="26"/>
          <w:szCs w:val="26"/>
        </w:rPr>
      </w:pPr>
    </w:p>
    <w:sectPr w:rsidR="00A1724A" w:rsidRPr="00474B36" w:rsidSect="00670E55">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5B7B"/>
    <w:multiLevelType w:val="hybridMultilevel"/>
    <w:tmpl w:val="A574C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07"/>
    <w:rsid w:val="00007038"/>
    <w:rsid w:val="00027769"/>
    <w:rsid w:val="00091479"/>
    <w:rsid w:val="00092FFF"/>
    <w:rsid w:val="000D0DA7"/>
    <w:rsid w:val="001612AA"/>
    <w:rsid w:val="002D7AAF"/>
    <w:rsid w:val="003140FB"/>
    <w:rsid w:val="00320B51"/>
    <w:rsid w:val="00375A11"/>
    <w:rsid w:val="003C6E25"/>
    <w:rsid w:val="003E6C07"/>
    <w:rsid w:val="00474B36"/>
    <w:rsid w:val="004B7C9F"/>
    <w:rsid w:val="004E2976"/>
    <w:rsid w:val="00670E55"/>
    <w:rsid w:val="007A7B7B"/>
    <w:rsid w:val="00801E97"/>
    <w:rsid w:val="00944BEC"/>
    <w:rsid w:val="00A1724A"/>
    <w:rsid w:val="00A74AB2"/>
    <w:rsid w:val="00B572FD"/>
    <w:rsid w:val="00BE3E24"/>
    <w:rsid w:val="00C53601"/>
    <w:rsid w:val="00C545F0"/>
    <w:rsid w:val="00C86C10"/>
    <w:rsid w:val="00D27520"/>
    <w:rsid w:val="00D715BC"/>
    <w:rsid w:val="00DA4FA4"/>
    <w:rsid w:val="00DF327A"/>
    <w:rsid w:val="00E42521"/>
    <w:rsid w:val="00E74228"/>
    <w:rsid w:val="00F217AC"/>
    <w:rsid w:val="00FC28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45394-C838-4900-94D6-3A425A4A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07"/>
    <w:rPr>
      <w:rFonts w:ascii="Garamond" w:hAnsi="Garamond"/>
      <w:sz w:val="24"/>
      <w:lang w:val="en-GB"/>
    </w:rPr>
  </w:style>
  <w:style w:type="paragraph" w:styleId="Overskrift2">
    <w:name w:val="heading 2"/>
    <w:basedOn w:val="Normal"/>
    <w:next w:val="Normal"/>
    <w:link w:val="Overskrift2Tegn"/>
    <w:uiPriority w:val="9"/>
    <w:unhideWhenUsed/>
    <w:qFormat/>
    <w:rsid w:val="000914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6C07"/>
    <w:pPr>
      <w:autoSpaceDE w:val="0"/>
      <w:autoSpaceDN w:val="0"/>
      <w:adjustRightInd w:val="0"/>
      <w:spacing w:after="0" w:line="240" w:lineRule="auto"/>
    </w:pPr>
    <w:rPr>
      <w:rFonts w:ascii="Calibri" w:hAnsi="Calibri" w:cs="Calibri"/>
      <w:color w:val="000000"/>
      <w:sz w:val="24"/>
      <w:szCs w:val="24"/>
      <w:lang w:val="en-GB"/>
    </w:rPr>
  </w:style>
  <w:style w:type="character" w:styleId="Kommentarhenvisning">
    <w:name w:val="annotation reference"/>
    <w:basedOn w:val="Standardskrifttypeiafsnit"/>
    <w:uiPriority w:val="99"/>
    <w:semiHidden/>
    <w:unhideWhenUsed/>
    <w:rsid w:val="00A1724A"/>
    <w:rPr>
      <w:sz w:val="16"/>
      <w:szCs w:val="16"/>
    </w:rPr>
  </w:style>
  <w:style w:type="paragraph" w:styleId="Kommentartekst">
    <w:name w:val="annotation text"/>
    <w:basedOn w:val="Normal"/>
    <w:link w:val="KommentartekstTegn"/>
    <w:uiPriority w:val="99"/>
    <w:semiHidden/>
    <w:unhideWhenUsed/>
    <w:rsid w:val="00A1724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1724A"/>
    <w:rPr>
      <w:rFonts w:ascii="Garamond" w:hAnsi="Garamond"/>
      <w:sz w:val="20"/>
      <w:szCs w:val="20"/>
      <w:lang w:val="en-GB"/>
    </w:rPr>
  </w:style>
  <w:style w:type="paragraph" w:styleId="Markeringsbobletekst">
    <w:name w:val="Balloon Text"/>
    <w:basedOn w:val="Normal"/>
    <w:link w:val="MarkeringsbobletekstTegn"/>
    <w:uiPriority w:val="99"/>
    <w:semiHidden/>
    <w:unhideWhenUsed/>
    <w:rsid w:val="00A1724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1724A"/>
    <w:rPr>
      <w:rFonts w:ascii="Tahoma" w:hAnsi="Tahoma" w:cs="Tahoma"/>
      <w:sz w:val="16"/>
      <w:szCs w:val="16"/>
      <w:lang w:val="en-GB"/>
    </w:rPr>
  </w:style>
  <w:style w:type="character" w:customStyle="1" w:styleId="Overskrift2Tegn">
    <w:name w:val="Overskrift 2 Tegn"/>
    <w:basedOn w:val="Standardskrifttypeiafsnit"/>
    <w:link w:val="Overskrift2"/>
    <w:uiPriority w:val="9"/>
    <w:rsid w:val="00091479"/>
    <w:rPr>
      <w:rFonts w:asciiTheme="majorHAnsi" w:eastAsiaTheme="majorEastAsia" w:hAnsiTheme="majorHAnsi" w:cstheme="majorBidi"/>
      <w:color w:val="365F91" w:themeColor="accent1" w:themeShade="BF"/>
      <w:sz w:val="26"/>
      <w:szCs w:val="26"/>
      <w:lang w:val="en-GB"/>
    </w:rPr>
  </w:style>
  <w:style w:type="paragraph" w:styleId="Listeafsnit">
    <w:name w:val="List Paragraph"/>
    <w:basedOn w:val="Normal"/>
    <w:uiPriority w:val="34"/>
    <w:qFormat/>
    <w:rsid w:val="004B7C9F"/>
    <w:pPr>
      <w:ind w:left="720"/>
      <w:contextualSpacing/>
    </w:pPr>
  </w:style>
  <w:style w:type="paragraph" w:styleId="Ingenafstand">
    <w:name w:val="No Spacing"/>
    <w:uiPriority w:val="1"/>
    <w:qFormat/>
    <w:rsid w:val="00FC288D"/>
    <w:pPr>
      <w:spacing w:after="0" w:line="240" w:lineRule="auto"/>
    </w:pPr>
    <w:rPr>
      <w:rFonts w:ascii="Garamond" w:hAnsi="Garamond"/>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FEA1C-BC9A-4419-8CFC-283A106A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4514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Larsen</dc:creator>
  <cp:lastModifiedBy>Katrine Siig Kristensen</cp:lastModifiedBy>
  <cp:revision>2</cp:revision>
  <cp:lastPrinted>2018-01-15T09:38:00Z</cp:lastPrinted>
  <dcterms:created xsi:type="dcterms:W3CDTF">2021-10-05T11:23:00Z</dcterms:created>
  <dcterms:modified xsi:type="dcterms:W3CDTF">2021-10-05T11:23:00Z</dcterms:modified>
</cp:coreProperties>
</file>