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68" w:rsidRPr="008F51ED" w:rsidRDefault="00DB6A68" w:rsidP="00DB6A68">
      <w:pPr>
        <w:rPr>
          <w:rFonts w:ascii="Garamond" w:hAnsi="Garamond"/>
          <w:b/>
          <w:sz w:val="24"/>
          <w:szCs w:val="24"/>
        </w:rPr>
      </w:pPr>
      <w:r w:rsidRPr="008F51ED">
        <w:rPr>
          <w:rFonts w:ascii="Garamond" w:hAnsi="Garamond"/>
          <w:b/>
          <w:sz w:val="24"/>
          <w:szCs w:val="24"/>
        </w:rPr>
        <w:t xml:space="preserve">Anneks 1 </w:t>
      </w:r>
    </w:p>
    <w:p w:rsidR="00DB6A68" w:rsidRPr="00CC2666" w:rsidRDefault="00DB6A68" w:rsidP="00DB6A68">
      <w:pPr>
        <w:rPr>
          <w:rFonts w:ascii="Garamond" w:hAnsi="Garamond"/>
          <w:b/>
          <w:sz w:val="24"/>
          <w:szCs w:val="24"/>
        </w:rPr>
      </w:pPr>
      <w:r w:rsidRPr="00700201">
        <w:rPr>
          <w:rFonts w:ascii="Garamond" w:hAnsi="Garamond"/>
          <w:b/>
          <w:sz w:val="24"/>
          <w:szCs w:val="24"/>
        </w:rPr>
        <w:t xml:space="preserve">Format for ansøgning </w:t>
      </w:r>
      <w:r w:rsidRPr="00B0631E">
        <w:rPr>
          <w:rFonts w:ascii="Garamond" w:hAnsi="Garamond"/>
          <w:b/>
          <w:sz w:val="24"/>
          <w:szCs w:val="24"/>
        </w:rPr>
        <w:t>(baseret p</w:t>
      </w:r>
      <w:r>
        <w:rPr>
          <w:rFonts w:ascii="Garamond" w:hAnsi="Garamond"/>
          <w:b/>
          <w:sz w:val="24"/>
          <w:szCs w:val="24"/>
        </w:rPr>
        <w:t>å</w:t>
      </w:r>
      <w:r w:rsidRPr="00B0631E">
        <w:rPr>
          <w:rFonts w:ascii="Garamond" w:hAnsi="Garamond"/>
          <w:b/>
          <w:sz w:val="24"/>
          <w:szCs w:val="24"/>
        </w:rPr>
        <w:t xml:space="preserve"> </w:t>
      </w:r>
      <w:r w:rsidRPr="00CC2666">
        <w:rPr>
          <w:rFonts w:ascii="Garamond" w:hAnsi="Garamond"/>
          <w:b/>
          <w:sz w:val="24"/>
          <w:szCs w:val="24"/>
        </w:rPr>
        <w:t>Danidas standardformat for projekter op til 10 mio.kr.</w:t>
      </w:r>
      <w:r>
        <w:rPr>
          <w:rFonts w:ascii="Garamond" w:hAnsi="Garamond"/>
          <w:b/>
          <w:sz w:val="24"/>
          <w:szCs w:val="24"/>
        </w:rPr>
        <w:t xml:space="preserve"> – </w:t>
      </w:r>
      <w:hyperlink r:id="rId7" w:history="1">
        <w:r w:rsidRPr="00782E0A">
          <w:rPr>
            <w:rStyle w:val="Hyperlink"/>
            <w:rFonts w:ascii="Garamond" w:hAnsi="Garamond"/>
            <w:b/>
            <w:sz w:val="24"/>
            <w:szCs w:val="24"/>
          </w:rPr>
          <w:t>Mini Project Document (</w:t>
        </w:r>
        <w:proofErr w:type="spellStart"/>
        <w:r w:rsidRPr="00782E0A">
          <w:rPr>
            <w:rStyle w:val="Hyperlink"/>
            <w:rFonts w:ascii="Garamond" w:hAnsi="Garamond"/>
            <w:b/>
            <w:sz w:val="24"/>
            <w:szCs w:val="24"/>
          </w:rPr>
          <w:t>projects</w:t>
        </w:r>
        <w:proofErr w:type="spellEnd"/>
        <w:r w:rsidRPr="00782E0A">
          <w:rPr>
            <w:rStyle w:val="Hyperlink"/>
            <w:rFonts w:ascii="Garamond" w:hAnsi="Garamond"/>
            <w:b/>
            <w:sz w:val="24"/>
            <w:szCs w:val="24"/>
          </w:rPr>
          <w:t xml:space="preserve"> </w:t>
        </w:r>
        <w:proofErr w:type="spellStart"/>
        <w:r w:rsidRPr="00782E0A">
          <w:rPr>
            <w:rStyle w:val="Hyperlink"/>
            <w:rFonts w:ascii="Garamond" w:hAnsi="Garamond"/>
            <w:b/>
            <w:sz w:val="24"/>
            <w:szCs w:val="24"/>
          </w:rPr>
          <w:t>below</w:t>
        </w:r>
        <w:proofErr w:type="spellEnd"/>
        <w:r w:rsidRPr="00782E0A">
          <w:rPr>
            <w:rStyle w:val="Hyperlink"/>
            <w:rFonts w:ascii="Garamond" w:hAnsi="Garamond"/>
            <w:b/>
            <w:sz w:val="24"/>
            <w:szCs w:val="24"/>
          </w:rPr>
          <w:t xml:space="preserve"> DKK 10 millioner)</w:t>
        </w:r>
      </w:hyperlink>
    </w:p>
    <w:p w:rsidR="00DB6A68" w:rsidRPr="00B0631E" w:rsidRDefault="00DB6A68" w:rsidP="00DB6A68">
      <w:pPr>
        <w:jc w:val="center"/>
        <w:rPr>
          <w:rFonts w:ascii="Diplomacy Office Bold" w:hAnsi="Diplomacy Office Bold"/>
          <w:sz w:val="28"/>
          <w:szCs w:val="28"/>
        </w:rPr>
      </w:pPr>
    </w:p>
    <w:p w:rsidR="00DB6A68" w:rsidRPr="00B0631E" w:rsidRDefault="00DB6A68" w:rsidP="00DB6A68">
      <w:pPr>
        <w:jc w:val="center"/>
        <w:rPr>
          <w:rFonts w:ascii="Diplomacy Office Bold" w:hAnsi="Diplomacy Office Bold"/>
          <w:sz w:val="28"/>
          <w:szCs w:val="28"/>
        </w:rPr>
      </w:pPr>
      <w:proofErr w:type="spellStart"/>
      <w:r w:rsidRPr="00B0631E">
        <w:rPr>
          <w:rFonts w:ascii="Diplomacy Office Bold" w:hAnsi="Diplomacy Office Bold"/>
          <w:sz w:val="28"/>
          <w:szCs w:val="28"/>
        </w:rPr>
        <w:t>Thematic</w:t>
      </w:r>
      <w:proofErr w:type="spellEnd"/>
      <w:r w:rsidRPr="00B0631E">
        <w:rPr>
          <w:rFonts w:ascii="Diplomacy Office Bold" w:hAnsi="Diplomacy Office Bold"/>
          <w:sz w:val="28"/>
          <w:szCs w:val="28"/>
        </w:rPr>
        <w:t xml:space="preserve"> ‘Call for </w:t>
      </w:r>
      <w:proofErr w:type="spellStart"/>
      <w:r w:rsidRPr="00B0631E">
        <w:rPr>
          <w:rFonts w:ascii="Diplomacy Office Bold" w:hAnsi="Diplomacy Office Bold"/>
          <w:sz w:val="28"/>
          <w:szCs w:val="28"/>
        </w:rPr>
        <w:t>Proposals</w:t>
      </w:r>
      <w:proofErr w:type="spellEnd"/>
      <w:r w:rsidRPr="00B0631E">
        <w:rPr>
          <w:rFonts w:ascii="Diplomacy Office Bold" w:hAnsi="Diplomacy Office Bold"/>
          <w:sz w:val="28"/>
          <w:szCs w:val="28"/>
        </w:rPr>
        <w:t>’ on</w:t>
      </w:r>
    </w:p>
    <w:p w:rsidR="00DB6A68" w:rsidRPr="00AB42D2" w:rsidRDefault="00DB6A68" w:rsidP="00DB6A68">
      <w:pPr>
        <w:spacing w:after="0"/>
        <w:jc w:val="center"/>
        <w:rPr>
          <w:rFonts w:ascii="Garamond" w:hAnsi="Garamond"/>
          <w:b/>
          <w:i/>
          <w:sz w:val="36"/>
          <w:szCs w:val="36"/>
        </w:rPr>
      </w:pPr>
      <w:r>
        <w:rPr>
          <w:rFonts w:ascii="Garamond" w:hAnsi="Garamond"/>
          <w:b/>
          <w:i/>
          <w:sz w:val="36"/>
          <w:szCs w:val="36"/>
        </w:rPr>
        <w:t>Styrkelse af uafhængige medier og samfundets modstandskraft overfor ’</w:t>
      </w:r>
      <w:proofErr w:type="spellStart"/>
      <w:r>
        <w:rPr>
          <w:rFonts w:ascii="Garamond" w:hAnsi="Garamond"/>
          <w:b/>
          <w:i/>
          <w:sz w:val="36"/>
          <w:szCs w:val="36"/>
        </w:rPr>
        <w:t>fake</w:t>
      </w:r>
      <w:proofErr w:type="spellEnd"/>
      <w:r>
        <w:rPr>
          <w:rFonts w:ascii="Garamond" w:hAnsi="Garamond"/>
          <w:b/>
          <w:i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i/>
          <w:sz w:val="36"/>
          <w:szCs w:val="36"/>
        </w:rPr>
        <w:t>news’</w:t>
      </w:r>
      <w:proofErr w:type="spellEnd"/>
      <w:r>
        <w:rPr>
          <w:rFonts w:ascii="Garamond" w:hAnsi="Garamond"/>
          <w:b/>
          <w:i/>
          <w:sz w:val="36"/>
          <w:szCs w:val="36"/>
        </w:rPr>
        <w:t xml:space="preserve"> og m</w:t>
      </w:r>
      <w:bookmarkStart w:id="0" w:name="_GoBack"/>
      <w:bookmarkEnd w:id="0"/>
      <w:r>
        <w:rPr>
          <w:rFonts w:ascii="Garamond" w:hAnsi="Garamond"/>
          <w:b/>
          <w:i/>
          <w:sz w:val="36"/>
          <w:szCs w:val="36"/>
        </w:rPr>
        <w:t xml:space="preserve">is/desinformation, samt styrkelse af </w:t>
      </w:r>
      <w:r w:rsidRPr="00AB42D2">
        <w:rPr>
          <w:rFonts w:ascii="Garamond" w:hAnsi="Garamond"/>
          <w:b/>
          <w:i/>
          <w:sz w:val="36"/>
          <w:szCs w:val="36"/>
        </w:rPr>
        <w:t>vidensniveau</w:t>
      </w:r>
      <w:r w:rsidRPr="00AB42D2">
        <w:rPr>
          <w:rFonts w:ascii="Garamond" w:hAnsi="Garamond" w:cs="Garamond"/>
          <w:b/>
          <w:i/>
          <w:sz w:val="36"/>
          <w:szCs w:val="36"/>
        </w:rPr>
        <w:t xml:space="preserve"> om EU</w:t>
      </w:r>
      <w:r>
        <w:rPr>
          <w:rFonts w:ascii="Garamond" w:hAnsi="Garamond" w:cs="Garamond"/>
          <w:b/>
          <w:i/>
          <w:sz w:val="36"/>
          <w:szCs w:val="36"/>
        </w:rPr>
        <w:t xml:space="preserve">, </w:t>
      </w:r>
      <w:r w:rsidRPr="00AB42D2">
        <w:rPr>
          <w:rFonts w:ascii="Garamond" w:hAnsi="Garamond" w:cs="Garamond"/>
          <w:b/>
          <w:i/>
          <w:sz w:val="36"/>
          <w:szCs w:val="36"/>
        </w:rPr>
        <w:t>europæiske institutioner</w:t>
      </w:r>
      <w:r>
        <w:rPr>
          <w:rFonts w:ascii="Garamond" w:hAnsi="Garamond" w:cs="Garamond"/>
          <w:b/>
          <w:i/>
          <w:sz w:val="36"/>
          <w:szCs w:val="36"/>
        </w:rPr>
        <w:t xml:space="preserve"> og individuelle rettigheder</w:t>
      </w:r>
    </w:p>
    <w:p w:rsidR="00DB6A68" w:rsidRPr="00427538" w:rsidRDefault="00DB6A68" w:rsidP="00DB6A68">
      <w:pPr>
        <w:spacing w:after="0"/>
        <w:jc w:val="center"/>
        <w:rPr>
          <w:rFonts w:ascii="Garamond" w:hAnsi="Garamond"/>
          <w:b/>
          <w:i/>
          <w:sz w:val="36"/>
          <w:szCs w:val="36"/>
        </w:rPr>
      </w:pPr>
    </w:p>
    <w:p w:rsidR="00DB6A68" w:rsidRPr="00700201" w:rsidRDefault="00DB6A68" w:rsidP="00DB6A68">
      <w:pPr>
        <w:spacing w:after="0"/>
        <w:jc w:val="center"/>
        <w:rPr>
          <w:rFonts w:ascii="Garamond" w:hAnsi="Garamond"/>
          <w:i/>
          <w:sz w:val="36"/>
          <w:szCs w:val="36"/>
          <w:lang w:val="en-GB"/>
        </w:rPr>
      </w:pPr>
      <w:r w:rsidRPr="00700201">
        <w:rPr>
          <w:rFonts w:ascii="Garamond" w:hAnsi="Garamond"/>
          <w:b/>
          <w:i/>
          <w:sz w:val="36"/>
          <w:szCs w:val="36"/>
          <w:lang w:val="en-GB"/>
        </w:rPr>
        <w:t>Moldova</w:t>
      </w:r>
    </w:p>
    <w:p w:rsidR="00DB6A68" w:rsidRPr="00700201" w:rsidRDefault="00DB6A68" w:rsidP="00DB6A68">
      <w:pPr>
        <w:spacing w:after="0"/>
        <w:jc w:val="center"/>
        <w:rPr>
          <w:rFonts w:ascii="Garamond" w:hAnsi="Garamond"/>
          <w:b/>
          <w:i/>
          <w:sz w:val="36"/>
          <w:szCs w:val="36"/>
          <w:lang w:val="en-GB"/>
        </w:rPr>
      </w:pPr>
    </w:p>
    <w:p w:rsidR="00DB6A68" w:rsidRPr="00031952" w:rsidRDefault="00DB6A68" w:rsidP="00DB6A68">
      <w:pPr>
        <w:jc w:val="center"/>
        <w:rPr>
          <w:rFonts w:ascii="Garamond" w:hAnsi="Garamond"/>
          <w:sz w:val="28"/>
          <w:szCs w:val="28"/>
          <w:u w:val="single"/>
          <w:lang w:val="en-GB"/>
        </w:rPr>
      </w:pPr>
      <w:r w:rsidRPr="00031952">
        <w:rPr>
          <w:rFonts w:ascii="Garamond" w:hAnsi="Garamond"/>
          <w:sz w:val="28"/>
          <w:szCs w:val="28"/>
          <w:u w:val="single"/>
          <w:lang w:val="en-GB"/>
        </w:rPr>
        <w:t>PROJECT PROPOSAL</w:t>
      </w:r>
      <w:r w:rsidRPr="00031952">
        <w:rPr>
          <w:rStyle w:val="Fodnotehenvisning"/>
          <w:rFonts w:ascii="Garamond" w:hAnsi="Garamond"/>
          <w:sz w:val="28"/>
          <w:szCs w:val="28"/>
          <w:u w:val="single"/>
          <w:lang w:val="en-GB"/>
        </w:rPr>
        <w:footnoteReference w:id="1"/>
      </w:r>
    </w:p>
    <w:p w:rsidR="00DB6A68" w:rsidRPr="00052D9A" w:rsidRDefault="00DB6A68" w:rsidP="00DB6A68">
      <w:pPr>
        <w:jc w:val="center"/>
        <w:rPr>
          <w:rFonts w:ascii="Garamond" w:hAnsi="Garamond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790"/>
      </w:tblGrid>
      <w:tr w:rsidR="00DB6A68" w:rsidRPr="006F6220" w:rsidTr="008F51ED">
        <w:trPr>
          <w:cantSplit/>
        </w:trPr>
        <w:tc>
          <w:tcPr>
            <w:tcW w:w="9628" w:type="dxa"/>
            <w:gridSpan w:val="2"/>
          </w:tcPr>
          <w:p w:rsidR="00DB6A68" w:rsidRPr="00031952" w:rsidRDefault="00DB6A68" w:rsidP="008F51E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 w:cs="Arial"/>
                <w:bCs/>
                <w:sz w:val="24"/>
                <w:szCs w:val="24"/>
                <w:lang w:val="en-GB"/>
              </w:rPr>
              <w:t>Information about THE Organisation applying (Lead applicant)</w:t>
            </w:r>
          </w:p>
        </w:tc>
      </w:tr>
      <w:tr w:rsidR="00DB6A68" w:rsidRPr="00031952" w:rsidTr="008F51ED">
        <w:trPr>
          <w:cantSplit/>
        </w:trPr>
        <w:tc>
          <w:tcPr>
            <w:tcW w:w="1838" w:type="dxa"/>
          </w:tcPr>
          <w:p w:rsidR="00DB6A68" w:rsidRPr="00031952" w:rsidRDefault="00DB6A68" w:rsidP="008F51E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Name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</w:p>
        </w:tc>
      </w:tr>
      <w:tr w:rsidR="00DB6A68" w:rsidRPr="00031952" w:rsidTr="008F51ED">
        <w:trPr>
          <w:cantSplit/>
        </w:trPr>
        <w:tc>
          <w:tcPr>
            <w:tcW w:w="1838" w:type="dxa"/>
          </w:tcPr>
          <w:p w:rsidR="00DB6A68" w:rsidRPr="00031952" w:rsidRDefault="00DB6A68" w:rsidP="008F51E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</w:p>
        </w:tc>
      </w:tr>
      <w:tr w:rsidR="00DB6A68" w:rsidRPr="00031952" w:rsidTr="008F51ED">
        <w:trPr>
          <w:cantSplit/>
        </w:trPr>
        <w:tc>
          <w:tcPr>
            <w:tcW w:w="1838" w:type="dxa"/>
          </w:tcPr>
          <w:p w:rsidR="00DB6A68" w:rsidRPr="00031952" w:rsidRDefault="00DB6A68" w:rsidP="008F51E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Contact person</w:t>
            </w:r>
          </w:p>
          <w:p w:rsidR="00DB6A68" w:rsidRPr="00031952" w:rsidRDefault="00DB6A68" w:rsidP="00DB6A68">
            <w:pPr>
              <w:pStyle w:val="Fodnotetekst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Name</w:t>
            </w:r>
          </w:p>
          <w:p w:rsidR="00DB6A68" w:rsidRPr="00031952" w:rsidRDefault="00DB6A68" w:rsidP="00DB6A68">
            <w:pPr>
              <w:pStyle w:val="Fodnotetekst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E-mail</w:t>
            </w:r>
          </w:p>
          <w:p w:rsidR="00DB6A68" w:rsidRPr="00031952" w:rsidRDefault="00DB6A68" w:rsidP="00DB6A68">
            <w:pPr>
              <w:pStyle w:val="Fodnotetekst"/>
              <w:numPr>
                <w:ilvl w:val="0"/>
                <w:numId w:val="2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 w:cs="Arial"/>
                <w:bCs/>
                <w:sz w:val="24"/>
                <w:szCs w:val="24"/>
                <w:lang w:val="en-GB"/>
              </w:rPr>
              <w:t>Phone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GB"/>
              </w:rPr>
            </w:pPr>
          </w:p>
        </w:tc>
      </w:tr>
    </w:tbl>
    <w:p w:rsidR="00DB6A68" w:rsidRPr="00031952" w:rsidRDefault="00DB6A68" w:rsidP="00DB6A68">
      <w:pPr>
        <w:rPr>
          <w:rFonts w:ascii="Garamond" w:hAnsi="Garamond"/>
          <w:b/>
          <w:sz w:val="24"/>
          <w:szCs w:val="24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DB6A68" w:rsidRPr="006F6220" w:rsidTr="008F51ED">
        <w:tc>
          <w:tcPr>
            <w:tcW w:w="9628" w:type="dxa"/>
            <w:gridSpan w:val="2"/>
          </w:tcPr>
          <w:p w:rsidR="00DB6A68" w:rsidRPr="00031952" w:rsidRDefault="00DB6A68" w:rsidP="008F51ED">
            <w:pPr>
              <w:spacing w:line="276" w:lineRule="auto"/>
              <w:rPr>
                <w:rFonts w:ascii="Diplomacy Office Bold" w:hAnsi="Diplomacy Office Bold"/>
                <w:sz w:val="24"/>
                <w:szCs w:val="24"/>
                <w:lang w:val="en-GB"/>
              </w:rPr>
            </w:pPr>
            <w:r w:rsidRPr="00031952">
              <w:rPr>
                <w:rFonts w:ascii="Diplomacy Office Bold" w:hAnsi="Diplomacy Office Bold"/>
                <w:sz w:val="24"/>
                <w:szCs w:val="24"/>
                <w:lang w:val="en-GB"/>
              </w:rPr>
              <w:t>Basic INFORMATION ABOUT THE PROJECT</w:t>
            </w:r>
          </w:p>
        </w:tc>
      </w:tr>
      <w:tr w:rsidR="00DB6A68" w:rsidRPr="00031952" w:rsidTr="008F51ED">
        <w:tc>
          <w:tcPr>
            <w:tcW w:w="1838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B6A68" w:rsidRPr="00031952" w:rsidTr="008F51ED">
        <w:tc>
          <w:tcPr>
            <w:tcW w:w="1838" w:type="dxa"/>
          </w:tcPr>
          <w:p w:rsidR="00DB6A68" w:rsidRPr="00031952" w:rsidRDefault="00DB6A68" w:rsidP="008F51ED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Objective and Outcomes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B6A68" w:rsidRPr="006F6220" w:rsidTr="008F51ED">
        <w:tc>
          <w:tcPr>
            <w:tcW w:w="1838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 xml:space="preserve">SDG-alignment </w:t>
            </w:r>
          </w:p>
          <w:p w:rsidR="00DB6A68" w:rsidRPr="00031952" w:rsidRDefault="00DB6A68" w:rsidP="008F51ED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i/>
                <w:lang w:val="en-GB"/>
              </w:rPr>
              <w:t xml:space="preserve">Please specify relevant targets and indicators 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B6A68" w:rsidRPr="00031952" w:rsidTr="008F51ED">
        <w:tc>
          <w:tcPr>
            <w:tcW w:w="1838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lastRenderedPageBreak/>
              <w:t>Total amount (DKK)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B6A68" w:rsidRPr="00031952" w:rsidTr="008F51ED">
        <w:tc>
          <w:tcPr>
            <w:tcW w:w="1838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7790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B6A68" w:rsidRPr="00031952" w:rsidTr="008F51ED">
        <w:tc>
          <w:tcPr>
            <w:tcW w:w="1838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Main partner(s)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B6A68" w:rsidRPr="00031952" w:rsidTr="008F51ED">
        <w:tc>
          <w:tcPr>
            <w:tcW w:w="1838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Geographical location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B6A68" w:rsidRPr="006F6220" w:rsidTr="008F51ED">
        <w:tc>
          <w:tcPr>
            <w:tcW w:w="1838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031952">
              <w:rPr>
                <w:rFonts w:ascii="Garamond" w:hAnsi="Garamond"/>
                <w:sz w:val="24"/>
                <w:szCs w:val="24"/>
                <w:lang w:val="en-GB"/>
              </w:rPr>
              <w:t>Start date and duration (months)</w:t>
            </w:r>
          </w:p>
        </w:tc>
        <w:tc>
          <w:tcPr>
            <w:tcW w:w="7790" w:type="dxa"/>
          </w:tcPr>
          <w:p w:rsidR="00DB6A68" w:rsidRPr="00031952" w:rsidRDefault="00DB6A68" w:rsidP="008F51ED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</w:tbl>
    <w:p w:rsidR="00DB6A68" w:rsidRDefault="00DB6A68" w:rsidP="00DB6A68">
      <w:pPr>
        <w:rPr>
          <w:rFonts w:ascii="Garamond" w:hAnsi="Garamond"/>
          <w:sz w:val="24"/>
          <w:szCs w:val="24"/>
          <w:lang w:val="en-US"/>
        </w:rPr>
      </w:pPr>
    </w:p>
    <w:p w:rsidR="00DB6A68" w:rsidRDefault="00DB6A68" w:rsidP="00DB6A68">
      <w:pPr>
        <w:pStyle w:val="Overskrift3"/>
        <w:rPr>
          <w:lang w:val="en-GB"/>
        </w:rPr>
      </w:pPr>
      <w:bookmarkStart w:id="1" w:name="_Toc362252492"/>
      <w:r>
        <w:rPr>
          <w:lang w:val="en-GB"/>
        </w:rPr>
        <w:t xml:space="preserve">[Template for </w:t>
      </w:r>
      <w:bookmarkEnd w:id="1"/>
      <w:r>
        <w:rPr>
          <w:lang w:val="en-GB"/>
        </w:rPr>
        <w:t>Mini-Project Document (projects below DKK 10 million)]</w:t>
      </w:r>
    </w:p>
    <w:p w:rsidR="00DB6A68" w:rsidRDefault="00DB6A68" w:rsidP="00DB6A68">
      <w:pPr>
        <w:jc w:val="center"/>
        <w:rPr>
          <w:b/>
          <w:i/>
          <w:lang w:val="en-GB"/>
        </w:rPr>
      </w:pPr>
      <w:r>
        <w:rPr>
          <w:b/>
          <w:i/>
          <w:highlight w:val="yellow"/>
          <w:lang w:val="en-GB"/>
        </w:rPr>
        <w:t>[delete guiding text in square brackets]</w:t>
      </w:r>
    </w:p>
    <w:p w:rsidR="00DB6A68" w:rsidRDefault="00DB6A68" w:rsidP="00DB6A68">
      <w:pPr>
        <w:ind w:left="1304" w:firstLine="1304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Mini-project document </w:t>
      </w:r>
    </w:p>
    <w:p w:rsidR="00DB6A68" w:rsidRDefault="00DB6A68" w:rsidP="00DB6A68">
      <w:pPr>
        <w:ind w:left="1304" w:firstLine="1304"/>
        <w:jc w:val="both"/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[Project title and partner] </w:t>
      </w:r>
    </w:p>
    <w:p w:rsidR="00DB6A68" w:rsidRDefault="00DB6A68" w:rsidP="00DB6A68">
      <w:pPr>
        <w:spacing w:after="0"/>
        <w:jc w:val="both"/>
        <w:rPr>
          <w:b/>
          <w:lang w:val="en-GB"/>
        </w:rPr>
      </w:pPr>
    </w:p>
    <w:p w:rsidR="00DB6A68" w:rsidRDefault="00DB6A68" w:rsidP="00DB6A68">
      <w:pPr>
        <w:pStyle w:val="Listeafsnit"/>
        <w:numPr>
          <w:ilvl w:val="0"/>
          <w:numId w:val="3"/>
        </w:numPr>
        <w:spacing w:after="0"/>
        <w:jc w:val="both"/>
        <w:rPr>
          <w:b/>
          <w:lang w:val="en-GB"/>
        </w:rPr>
      </w:pPr>
      <w:r>
        <w:rPr>
          <w:b/>
          <w:lang w:val="en-GB"/>
        </w:rPr>
        <w:t xml:space="preserve">Background and project description (3-5 pages) </w:t>
      </w:r>
    </w:p>
    <w:p w:rsidR="00DB6A68" w:rsidRDefault="00DB6A68" w:rsidP="00DB6A68">
      <w:pPr>
        <w:spacing w:after="0"/>
        <w:jc w:val="both"/>
        <w:rPr>
          <w:lang w:val="en-GB"/>
        </w:rPr>
      </w:pPr>
    </w:p>
    <w:p w:rsidR="00DB6A68" w:rsidRDefault="00DB6A68" w:rsidP="00DB6A68">
      <w:pPr>
        <w:spacing w:after="0"/>
        <w:jc w:val="both"/>
        <w:rPr>
          <w:i/>
          <w:lang w:val="en-GB"/>
        </w:rPr>
      </w:pPr>
      <w:r>
        <w:rPr>
          <w:lang w:val="en-GB"/>
        </w:rPr>
        <w:t>[</w:t>
      </w:r>
      <w:r>
        <w:rPr>
          <w:i/>
          <w:lang w:val="en-GB"/>
        </w:rPr>
        <w:t xml:space="preserve">The descriptions could include: </w:t>
      </w:r>
    </w:p>
    <w:p w:rsidR="00DB6A68" w:rsidRDefault="00DB6A68" w:rsidP="00DB6A68">
      <w:pPr>
        <w:pStyle w:val="Listeafsnit"/>
        <w:numPr>
          <w:ilvl w:val="0"/>
          <w:numId w:val="4"/>
        </w:numPr>
        <w:spacing w:after="0"/>
        <w:jc w:val="both"/>
        <w:rPr>
          <w:lang w:val="en-GB"/>
        </w:rPr>
      </w:pPr>
      <w:r>
        <w:rPr>
          <w:i/>
          <w:lang w:val="en-GB"/>
        </w:rPr>
        <w:t>Brief background and context setting the scene for the support;</w:t>
      </w:r>
    </w:p>
    <w:p w:rsidR="00DB6A68" w:rsidRDefault="00DB6A68" w:rsidP="00DB6A68">
      <w:pPr>
        <w:pStyle w:val="Listeafsnit"/>
        <w:numPr>
          <w:ilvl w:val="0"/>
          <w:numId w:val="4"/>
        </w:numPr>
        <w:spacing w:after="0"/>
        <w:jc w:val="both"/>
        <w:rPr>
          <w:lang w:val="en-GB"/>
        </w:rPr>
      </w:pPr>
      <w:r>
        <w:rPr>
          <w:i/>
          <w:lang w:val="en-GB"/>
        </w:rPr>
        <w:t xml:space="preserve">Justification for the selection of the project and the applicants experience and professional capacity within media, media support and strengthening of resilience towards disinformation </w:t>
      </w:r>
      <w:proofErr w:type="spellStart"/>
      <w:r>
        <w:rPr>
          <w:i/>
          <w:lang w:val="en-GB"/>
        </w:rPr>
        <w:t>etc.the</w:t>
      </w:r>
      <w:proofErr w:type="spellEnd"/>
      <w:r>
        <w:rPr>
          <w:i/>
          <w:lang w:val="en-GB"/>
        </w:rPr>
        <w:t xml:space="preserve">; </w:t>
      </w:r>
    </w:p>
    <w:p w:rsidR="00DB6A68" w:rsidRDefault="00DB6A68" w:rsidP="00DB6A68">
      <w:pPr>
        <w:pStyle w:val="Listeafsnit"/>
        <w:numPr>
          <w:ilvl w:val="0"/>
          <w:numId w:val="4"/>
        </w:numPr>
        <w:spacing w:after="0"/>
        <w:jc w:val="both"/>
        <w:rPr>
          <w:lang w:val="en-GB"/>
        </w:rPr>
      </w:pPr>
      <w:r>
        <w:rPr>
          <w:i/>
          <w:lang w:val="en-GB"/>
        </w:rPr>
        <w:t>Lessons learned from earlier engagements, evidence for what works from studies and evaluations, etc.</w:t>
      </w:r>
      <w:r>
        <w:rPr>
          <w:lang w:val="en-GB"/>
        </w:rPr>
        <w:t>]</w:t>
      </w:r>
    </w:p>
    <w:p w:rsidR="00DB6A68" w:rsidRDefault="00DB6A68" w:rsidP="00DB6A68">
      <w:pPr>
        <w:pStyle w:val="Listeafsnit"/>
        <w:numPr>
          <w:ilvl w:val="0"/>
          <w:numId w:val="4"/>
        </w:numPr>
        <w:spacing w:after="0"/>
        <w:jc w:val="both"/>
        <w:rPr>
          <w:lang w:val="en-GB"/>
        </w:rPr>
      </w:pPr>
      <w:r>
        <w:rPr>
          <w:i/>
          <w:lang w:val="en-GB"/>
        </w:rPr>
        <w:t xml:space="preserve">Description of theory of change, explaining how the project intends to contribute to its objectives and achieve its results, with key assumptions for the intended change process; </w:t>
      </w:r>
    </w:p>
    <w:p w:rsidR="00DB6A68" w:rsidRDefault="00DB6A68" w:rsidP="00DB6A68">
      <w:pPr>
        <w:pStyle w:val="Listeafsnit"/>
        <w:numPr>
          <w:ilvl w:val="0"/>
          <w:numId w:val="4"/>
        </w:numPr>
        <w:spacing w:after="0"/>
        <w:jc w:val="both"/>
        <w:rPr>
          <w:lang w:val="en-GB"/>
        </w:rPr>
      </w:pPr>
      <w:r>
        <w:rPr>
          <w:i/>
          <w:lang w:val="en-GB"/>
        </w:rPr>
        <w:t>Summary listing of main components of the project and the support through the grant, including specification of modality (sub-</w:t>
      </w:r>
      <w:proofErr w:type="spellStart"/>
      <w:proofErr w:type="gramStart"/>
      <w:r>
        <w:rPr>
          <w:i/>
          <w:lang w:val="en-GB"/>
        </w:rPr>
        <w:t>grantning</w:t>
      </w:r>
      <w:proofErr w:type="spellEnd"/>
      <w:r>
        <w:rPr>
          <w:i/>
          <w:lang w:val="en-GB"/>
        </w:rPr>
        <w:t>,  technical</w:t>
      </w:r>
      <w:proofErr w:type="gramEnd"/>
      <w:r>
        <w:rPr>
          <w:i/>
          <w:lang w:val="en-GB"/>
        </w:rPr>
        <w:t xml:space="preserve"> assistance and capacity building, or other), what parts of the partner planning framework is supported, and how. </w:t>
      </w:r>
    </w:p>
    <w:p w:rsidR="00DB6A68" w:rsidRDefault="00DB6A68" w:rsidP="00DB6A68">
      <w:pPr>
        <w:spacing w:after="0"/>
        <w:jc w:val="both"/>
        <w:rPr>
          <w:lang w:val="en-GB"/>
        </w:rPr>
      </w:pPr>
    </w:p>
    <w:p w:rsidR="00DB6A68" w:rsidRDefault="00DB6A68" w:rsidP="00DB6A68">
      <w:pPr>
        <w:pStyle w:val="Listeafsnit"/>
        <w:numPr>
          <w:ilvl w:val="0"/>
          <w:numId w:val="3"/>
        </w:numPr>
        <w:spacing w:after="0"/>
        <w:jc w:val="both"/>
        <w:rPr>
          <w:b/>
          <w:lang w:val="en-GB"/>
        </w:rPr>
      </w:pPr>
      <w:r>
        <w:rPr>
          <w:b/>
          <w:lang w:val="en-GB"/>
        </w:rPr>
        <w:t>Project objective and results framework (2 pages)</w:t>
      </w:r>
    </w:p>
    <w:p w:rsidR="00DB6A68" w:rsidRDefault="00DB6A68" w:rsidP="00DB6A68">
      <w:pPr>
        <w:spacing w:after="0"/>
        <w:jc w:val="both"/>
        <w:rPr>
          <w:lang w:val="en-GB"/>
        </w:rPr>
      </w:pPr>
    </w:p>
    <w:p w:rsidR="00DB6A68" w:rsidRDefault="00DB6A68" w:rsidP="00DB6A68">
      <w:pPr>
        <w:spacing w:after="0"/>
        <w:jc w:val="both"/>
        <w:rPr>
          <w:lang w:val="en-GB"/>
        </w:rPr>
      </w:pPr>
    </w:p>
    <w:p w:rsidR="00DB6A68" w:rsidRDefault="00DB6A68" w:rsidP="00DB6A68">
      <w:pPr>
        <w:spacing w:after="0"/>
        <w:jc w:val="both"/>
        <w:rPr>
          <w:lang w:val="en-GB"/>
        </w:rPr>
      </w:pPr>
    </w:p>
    <w:tbl>
      <w:tblPr>
        <w:tblStyle w:val="Tabel-Gitter"/>
        <w:tblW w:w="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DB6A68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Project title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</w:tr>
      <w:tr w:rsidR="00DB6A68" w:rsidRPr="006F6220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Project objective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[The intended impact contributing to benefit to a society or community]</w:t>
            </w:r>
          </w:p>
        </w:tc>
      </w:tr>
      <w:tr w:rsidR="00DB6A68" w:rsidRPr="006F6220" w:rsidTr="008F51ED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</w:tr>
      <w:tr w:rsidR="00DB6A68" w:rsidRPr="006F6220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[The short-term and medium term effects of the project’s outcome on the target group]</w:t>
            </w:r>
          </w:p>
        </w:tc>
      </w:tr>
      <w:tr w:rsidR="00DB6A68" w:rsidRPr="006F6220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engagement activities]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by the end of engagement (phase)]</w:t>
            </w:r>
          </w:p>
        </w:tc>
      </w:tr>
      <w:tr w:rsidR="00DB6A68" w:rsidRPr="006F6220" w:rsidTr="008F51ED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</w:tr>
      <w:tr w:rsidR="00DB6A68" w:rsidRPr="006F6220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[Short-term result in the form of deliverables which result from a set of project activities]</w:t>
            </w:r>
          </w:p>
        </w:tc>
      </w:tr>
      <w:tr w:rsidR="00DB6A68" w:rsidRPr="006F6220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DB6A68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project]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two years of implementation]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three years of implementation]</w:t>
            </w:r>
          </w:p>
        </w:tc>
      </w:tr>
      <w:tr w:rsidR="00DB6A68" w:rsidRPr="006F6220" w:rsidTr="008F51ED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</w:tr>
      <w:tr w:rsidR="00DB6A68" w:rsidRPr="006F6220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[Short-term result in the form of deliverables which result from the project activities]</w:t>
            </w:r>
          </w:p>
        </w:tc>
      </w:tr>
      <w:tr w:rsidR="00DB6A68" w:rsidRPr="006F6220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the project]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DB6A68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when activity under the project ends ]</w:t>
            </w:r>
          </w:p>
        </w:tc>
      </w:tr>
      <w:tr w:rsidR="00DB6A68" w:rsidRPr="006F6220" w:rsidTr="008F51ED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US"/>
              </w:rPr>
            </w:pPr>
          </w:p>
        </w:tc>
      </w:tr>
      <w:tr w:rsidR="00DB6A68" w:rsidRPr="006F6220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[Short-term result in the form of deliverables which result from the project activities]</w:t>
            </w:r>
          </w:p>
        </w:tc>
      </w:tr>
      <w:tr w:rsidR="00DB6A68" w:rsidRPr="006F6220" w:rsidTr="008F51ED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[Quantitative or qualitative factor or variable that provides a simple and reliable means to measure achievement or to reflect the changes connected to an intervention] 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Baseline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[Situation prior to the project]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Annual 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DB6A68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  <w:tr w:rsidR="00DB6A68" w:rsidRPr="006F6220" w:rsidTr="008F51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68" w:rsidRDefault="00DB6A68" w:rsidP="008F51E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when activity under the project ends ]</w:t>
            </w:r>
          </w:p>
        </w:tc>
      </w:tr>
      <w:tr w:rsidR="00DB6A68" w:rsidRPr="006F6220" w:rsidTr="008F51ED">
        <w:trPr>
          <w:trHeight w:val="113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8" w:rsidRDefault="00DB6A68" w:rsidP="008F51ED">
            <w:pPr>
              <w:jc w:val="both"/>
              <w:rPr>
                <w:lang w:val="en-US"/>
              </w:rPr>
            </w:pPr>
          </w:p>
        </w:tc>
      </w:tr>
    </w:tbl>
    <w:p w:rsidR="00DB6A68" w:rsidRDefault="00DB6A68" w:rsidP="00DB6A68">
      <w:pPr>
        <w:jc w:val="both"/>
        <w:rPr>
          <w:rFonts w:ascii="Garamond" w:eastAsiaTheme="minorEastAsia" w:hAnsi="Garamond"/>
          <w:b/>
          <w:sz w:val="26"/>
          <w:szCs w:val="26"/>
          <w:lang w:val="en-GB"/>
        </w:rPr>
      </w:pPr>
    </w:p>
    <w:p w:rsidR="00DB6A68" w:rsidRDefault="00DB6A68" w:rsidP="00DB6A68">
      <w:pPr>
        <w:pStyle w:val="Listeafsnit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sz w:val="22"/>
          <w:szCs w:val="22"/>
          <w:lang w:val="en-GB"/>
        </w:rPr>
      </w:pPr>
      <w:r>
        <w:rPr>
          <w:b/>
          <w:lang w:val="en-GB"/>
        </w:rPr>
        <w:t>Risk Management (1/2 page)</w:t>
      </w:r>
    </w:p>
    <w:p w:rsidR="00DB6A68" w:rsidRDefault="00DB6A68" w:rsidP="00DB6A68">
      <w:pPr>
        <w:rPr>
          <w:i/>
        </w:rPr>
      </w:pPr>
      <w:r>
        <w:rPr>
          <w:i/>
          <w:lang w:val="en-GB"/>
        </w:rPr>
        <w:t xml:space="preserve"> </w:t>
      </w:r>
    </w:p>
    <w:p w:rsidR="00DB6A68" w:rsidRDefault="00DB6A68" w:rsidP="00DB6A68">
      <w:pPr>
        <w:rPr>
          <w:b/>
          <w:lang w:val="en-GB"/>
        </w:rPr>
      </w:pPr>
      <w:r>
        <w:rPr>
          <w:lang w:val="en-GB"/>
        </w:rPr>
        <w:t xml:space="preserve">Summary of risk analysis and risk response (to cover contextual and programmatic risk factors).  Reference should be made to assumptions made in relation to the </w:t>
      </w:r>
      <w:proofErr w:type="spellStart"/>
      <w:r>
        <w:rPr>
          <w:lang w:val="en-GB"/>
        </w:rPr>
        <w:t>ToC</w:t>
      </w:r>
      <w:proofErr w:type="spellEnd"/>
      <w:r>
        <w:rPr>
          <w:lang w:val="en-GB"/>
        </w:rPr>
        <w:t xml:space="preserve">. If relevant, describe joint risk management arrangements; e.g. discussions as part of the annual reporting. </w:t>
      </w:r>
    </w:p>
    <w:p w:rsidR="00DB6A68" w:rsidRPr="008F51ED" w:rsidRDefault="00DB6A68" w:rsidP="00DB6A68">
      <w:pPr>
        <w:pStyle w:val="Listeafsnit"/>
        <w:numPr>
          <w:ilvl w:val="0"/>
          <w:numId w:val="3"/>
        </w:numPr>
        <w:rPr>
          <w:b/>
          <w:lang w:val="en-GB"/>
        </w:rPr>
      </w:pPr>
      <w:r w:rsidRPr="008F51ED">
        <w:rPr>
          <w:b/>
          <w:lang w:val="en-GB"/>
        </w:rPr>
        <w:t>Budget (1/2 – 1 page)</w:t>
      </w:r>
    </w:p>
    <w:p w:rsidR="00DB6A68" w:rsidRPr="008F51ED" w:rsidRDefault="00DB6A68" w:rsidP="00DB6A68">
      <w:pPr>
        <w:spacing w:after="0"/>
        <w:jc w:val="both"/>
        <w:rPr>
          <w:lang w:val="en-US"/>
        </w:rPr>
      </w:pPr>
      <w:r w:rsidRPr="003900FD">
        <w:rPr>
          <w:lang w:val="en-GB"/>
        </w:rPr>
        <w:t>Detaile</w:t>
      </w:r>
      <w:r>
        <w:rPr>
          <w:lang w:val="en-GB"/>
        </w:rPr>
        <w:t>d budget (to the extent possible)</w:t>
      </w:r>
      <w:r w:rsidRPr="003900FD">
        <w:rPr>
          <w:lang w:val="en-GB"/>
        </w:rPr>
        <w:t xml:space="preserve"> – else indicative figures to be finalized in Inception Phase. Apply ‘</w:t>
      </w:r>
      <w:proofErr w:type="spellStart"/>
      <w:r w:rsidRPr="003900FD">
        <w:rPr>
          <w:lang w:val="en-GB"/>
        </w:rPr>
        <w:t>Anneks</w:t>
      </w:r>
      <w:proofErr w:type="spellEnd"/>
      <w:r w:rsidRPr="003900FD">
        <w:rPr>
          <w:lang w:val="en-GB"/>
        </w:rPr>
        <w:t xml:space="preserve"> 3. </w:t>
      </w:r>
      <w:proofErr w:type="spellStart"/>
      <w:r w:rsidRPr="003900FD">
        <w:rPr>
          <w:lang w:val="en-GB"/>
        </w:rPr>
        <w:t>Budgetformat</w:t>
      </w:r>
      <w:proofErr w:type="spellEnd"/>
      <w:r w:rsidRPr="003900FD">
        <w:rPr>
          <w:lang w:val="en-GB"/>
        </w:rPr>
        <w:t>’ and ‘</w:t>
      </w:r>
      <w:proofErr w:type="spellStart"/>
      <w:r w:rsidRPr="003900FD">
        <w:rPr>
          <w:lang w:val="en-GB"/>
        </w:rPr>
        <w:t>Anneks</w:t>
      </w:r>
      <w:proofErr w:type="spellEnd"/>
      <w:r w:rsidRPr="003900FD">
        <w:rPr>
          <w:lang w:val="en-GB"/>
        </w:rPr>
        <w:t xml:space="preserve"> 4 – Note </w:t>
      </w:r>
      <w:proofErr w:type="spellStart"/>
      <w:r w:rsidRPr="003900FD">
        <w:rPr>
          <w:lang w:val="en-GB"/>
        </w:rPr>
        <w:t>til</w:t>
      </w:r>
      <w:proofErr w:type="spellEnd"/>
      <w:r w:rsidRPr="003900FD">
        <w:rPr>
          <w:lang w:val="en-GB"/>
        </w:rPr>
        <w:t xml:space="preserve"> </w:t>
      </w:r>
      <w:proofErr w:type="spellStart"/>
      <w:r w:rsidRPr="003900FD">
        <w:rPr>
          <w:lang w:val="en-GB"/>
        </w:rPr>
        <w:t>udfyldelse</w:t>
      </w:r>
      <w:proofErr w:type="spellEnd"/>
      <w:r w:rsidRPr="003900FD">
        <w:rPr>
          <w:lang w:val="en-GB"/>
        </w:rPr>
        <w:t xml:space="preserve"> </w:t>
      </w:r>
      <w:proofErr w:type="spellStart"/>
      <w:r w:rsidRPr="003900FD">
        <w:rPr>
          <w:lang w:val="en-GB"/>
        </w:rPr>
        <w:t>af</w:t>
      </w:r>
      <w:proofErr w:type="spellEnd"/>
      <w:r w:rsidRPr="003900FD">
        <w:rPr>
          <w:lang w:val="en-GB"/>
        </w:rPr>
        <w:t xml:space="preserve"> budget’, which can be accessed </w:t>
      </w:r>
      <w:hyperlink r:id="rId8" w:history="1">
        <w:r w:rsidRPr="003900FD">
          <w:rPr>
            <w:rStyle w:val="Hyperlink"/>
            <w:lang w:val="en-GB"/>
          </w:rPr>
          <w:t>here</w:t>
        </w:r>
      </w:hyperlink>
      <w:r w:rsidRPr="003900FD">
        <w:rPr>
          <w:lang w:val="en-GB"/>
        </w:rPr>
        <w:t>.</w:t>
      </w:r>
    </w:p>
    <w:p w:rsidR="00DB6A68" w:rsidRDefault="00DB6A68" w:rsidP="00DB6A68">
      <w:pPr>
        <w:pStyle w:val="Listeafsnit"/>
        <w:numPr>
          <w:ilvl w:val="0"/>
          <w:numId w:val="3"/>
        </w:numPr>
        <w:spacing w:after="0"/>
        <w:jc w:val="both"/>
        <w:rPr>
          <w:b/>
          <w:lang w:val="en-GB"/>
        </w:rPr>
      </w:pPr>
      <w:r>
        <w:rPr>
          <w:b/>
          <w:lang w:val="en-GB"/>
        </w:rPr>
        <w:t>Management arrangement (1/2 -1 page)</w:t>
      </w:r>
    </w:p>
    <w:p w:rsidR="00DB6A68" w:rsidRDefault="00DB6A68" w:rsidP="00DB6A68">
      <w:pPr>
        <w:spacing w:after="0"/>
        <w:jc w:val="both"/>
        <w:rPr>
          <w:lang w:val="en-GB"/>
        </w:rPr>
      </w:pPr>
    </w:p>
    <w:p w:rsidR="00DB6A68" w:rsidRDefault="00DB6A68" w:rsidP="00DB6A68">
      <w:pPr>
        <w:spacing w:after="0"/>
        <w:jc w:val="both"/>
        <w:rPr>
          <w:lang w:val="en-GB"/>
        </w:rPr>
      </w:pPr>
      <w:r>
        <w:rPr>
          <w:lang w:val="en-GB"/>
        </w:rPr>
        <w:t>[</w:t>
      </w:r>
      <w:r>
        <w:rPr>
          <w:i/>
          <w:lang w:val="en-GB"/>
        </w:rPr>
        <w:t xml:space="preserve">Summary of management arrangement as described in documentation. Management arrangement should be detailed, specifying the organizational set-up, including description of mechanisms and agreed procedures for monitoring of progress, calendar for financial and narrative progress reporting, timing of project level dialogue and learning, ongoing QA, anti-corruption measures, and risk management. </w:t>
      </w:r>
    </w:p>
    <w:p w:rsidR="00DB6A68" w:rsidRDefault="00DB6A68" w:rsidP="00DB6A68">
      <w:pPr>
        <w:spacing w:after="0"/>
        <w:jc w:val="both"/>
        <w:rPr>
          <w:b/>
          <w:lang w:val="en-GB"/>
        </w:rPr>
      </w:pPr>
    </w:p>
    <w:p w:rsidR="00DB6A68" w:rsidRDefault="00DB6A68" w:rsidP="00DB6A68">
      <w:pPr>
        <w:pStyle w:val="Listeafsnit"/>
        <w:numPr>
          <w:ilvl w:val="0"/>
          <w:numId w:val="3"/>
        </w:numPr>
        <w:spacing w:after="0"/>
        <w:jc w:val="both"/>
        <w:rPr>
          <w:b/>
          <w:lang w:val="en-GB"/>
        </w:rPr>
      </w:pPr>
      <w:r>
        <w:rPr>
          <w:b/>
          <w:lang w:val="en-GB"/>
        </w:rPr>
        <w:t>Financial Management (1/2 - 1 pages)</w:t>
      </w:r>
    </w:p>
    <w:p w:rsidR="00DB6A68" w:rsidRDefault="00DB6A68" w:rsidP="00DB6A68">
      <w:pPr>
        <w:spacing w:after="0"/>
        <w:jc w:val="both"/>
        <w:rPr>
          <w:lang w:val="en-GB"/>
        </w:rPr>
      </w:pPr>
      <w:r>
        <w:rPr>
          <w:lang w:val="en-GB"/>
        </w:rPr>
        <w:t xml:space="preserve">[ </w:t>
      </w:r>
      <w:r w:rsidRPr="008F51ED">
        <w:rPr>
          <w:i/>
          <w:lang w:val="en-GB"/>
        </w:rPr>
        <w:t>Describe financial management</w:t>
      </w:r>
      <w:r>
        <w:rPr>
          <w:i/>
          <w:lang w:val="en-GB"/>
        </w:rPr>
        <w:t>.</w:t>
      </w:r>
      <w:r w:rsidRPr="008F51ED">
        <w:rPr>
          <w:i/>
          <w:lang w:val="en-GB"/>
        </w:rPr>
        <w:t xml:space="preserve"> The Grantee can utilize own rules and procedures, while adhering to the minimum requirements as stipulated in the Ministry of Foreign Affairs’ </w:t>
      </w:r>
      <w:hyperlink r:id="rId9" w:history="1">
        <w:r w:rsidRPr="008F51ED">
          <w:rPr>
            <w:rStyle w:val="Hyperlink"/>
            <w:i/>
            <w:lang w:val="en-GB"/>
          </w:rPr>
          <w:t>Guidelines for Financial Management</w:t>
        </w:r>
      </w:hyperlink>
      <w:r w:rsidRPr="008F51ED">
        <w:rPr>
          <w:i/>
          <w:lang w:val="en-GB"/>
        </w:rPr>
        <w:t xml:space="preserve"> and conditions specified for the grant, that must be considered an integral part of the conditions for this grant</w:t>
      </w:r>
      <w:r>
        <w:rPr>
          <w:lang w:val="en-GB"/>
        </w:rPr>
        <w:t>.]</w:t>
      </w:r>
    </w:p>
    <w:p w:rsidR="00DB6A68" w:rsidRDefault="00DB6A68" w:rsidP="00DB6A68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DB6A68" w:rsidRDefault="00DB6A68" w:rsidP="00DB6A68">
      <w:pPr>
        <w:pStyle w:val="Listeafsnit"/>
        <w:numPr>
          <w:ilvl w:val="0"/>
          <w:numId w:val="3"/>
        </w:numPr>
        <w:spacing w:after="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b/>
          <w:lang w:val="en-GB"/>
        </w:rPr>
        <w:t>Monitoring and Evaluation (1 page)</w:t>
      </w:r>
    </w:p>
    <w:p w:rsidR="00DB6A68" w:rsidRDefault="00DB6A68" w:rsidP="00DB6A68">
      <w:pPr>
        <w:jc w:val="both"/>
        <w:rPr>
          <w:i/>
          <w:lang w:val="en-GB"/>
        </w:rPr>
      </w:pPr>
      <w:r>
        <w:rPr>
          <w:i/>
          <w:lang w:val="en-GB"/>
        </w:rPr>
        <w:t xml:space="preserve">[Agreed procedures and mechanisms for monitoring of progress, and dialogue concerning implementation. Reference can be made to the section on management arrangement]. </w:t>
      </w:r>
    </w:p>
    <w:p w:rsidR="00DB6A68" w:rsidRDefault="00DB6A68" w:rsidP="00DB6A68">
      <w:pPr>
        <w:rPr>
          <w:rFonts w:ascii="Garamond" w:hAnsi="Garamond"/>
          <w:sz w:val="24"/>
          <w:szCs w:val="24"/>
          <w:lang w:val="en-US"/>
        </w:rPr>
      </w:pPr>
    </w:p>
    <w:p w:rsidR="00DB6A68" w:rsidRPr="000A4863" w:rsidRDefault="00DB6A68" w:rsidP="00DB6A68">
      <w:pPr>
        <w:rPr>
          <w:rFonts w:ascii="Garamond" w:hAnsi="Garamond"/>
          <w:b/>
          <w:sz w:val="24"/>
          <w:szCs w:val="24"/>
        </w:rPr>
      </w:pPr>
      <w:r w:rsidRPr="000A4863">
        <w:rPr>
          <w:rFonts w:ascii="Garamond" w:hAnsi="Garamond"/>
          <w:b/>
          <w:sz w:val="24"/>
          <w:szCs w:val="24"/>
        </w:rPr>
        <w:t xml:space="preserve">Mandatory </w:t>
      </w:r>
      <w:proofErr w:type="spellStart"/>
      <w:r w:rsidRPr="000A4863">
        <w:rPr>
          <w:rFonts w:ascii="Garamond" w:hAnsi="Garamond"/>
          <w:b/>
          <w:sz w:val="24"/>
          <w:szCs w:val="24"/>
        </w:rPr>
        <w:t>Annexes</w:t>
      </w:r>
      <w:proofErr w:type="spellEnd"/>
      <w:r w:rsidRPr="000A4863">
        <w:rPr>
          <w:rFonts w:ascii="Garamond" w:hAnsi="Garamond"/>
          <w:b/>
          <w:sz w:val="24"/>
          <w:szCs w:val="24"/>
        </w:rPr>
        <w:t>:</w:t>
      </w:r>
    </w:p>
    <w:p w:rsidR="00DB6A68" w:rsidRPr="00511C31" w:rsidRDefault="00DB6A68" w:rsidP="00DB6A68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500B4F">
        <w:rPr>
          <w:rFonts w:ascii="Garamond" w:hAnsi="Garamond"/>
          <w:sz w:val="24"/>
          <w:szCs w:val="24"/>
          <w:lang w:val="en-US"/>
        </w:rPr>
        <w:t>Detailed b</w:t>
      </w:r>
      <w:r w:rsidRPr="000A4863">
        <w:rPr>
          <w:rFonts w:ascii="Garamond" w:hAnsi="Garamond"/>
          <w:sz w:val="24"/>
          <w:szCs w:val="24"/>
          <w:lang w:val="en-US"/>
        </w:rPr>
        <w:t>udget (to the extent possible – else indicative figures to be finalized in Inception Phase.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r w:rsidRPr="004E01A9">
        <w:rPr>
          <w:rFonts w:ascii="Garamond" w:hAnsi="Garamond"/>
          <w:sz w:val="24"/>
          <w:szCs w:val="24"/>
          <w:lang w:val="en-US"/>
        </w:rPr>
        <w:t>Apply</w:t>
      </w:r>
      <w:r w:rsidRPr="0064302B">
        <w:rPr>
          <w:rFonts w:ascii="Garamond" w:hAnsi="Garamond"/>
          <w:sz w:val="24"/>
          <w:szCs w:val="24"/>
          <w:lang w:val="en-US"/>
        </w:rPr>
        <w:t xml:space="preserve"> ‘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Anneks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3. 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Budgetformat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>’ and ‘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Anneks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4 – Note 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til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udfyldelse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64302B">
        <w:rPr>
          <w:rFonts w:ascii="Garamond" w:hAnsi="Garamond"/>
          <w:sz w:val="24"/>
          <w:szCs w:val="24"/>
          <w:lang w:val="en-US"/>
        </w:rPr>
        <w:t>af</w:t>
      </w:r>
      <w:proofErr w:type="spellEnd"/>
      <w:r w:rsidRPr="0064302B">
        <w:rPr>
          <w:rFonts w:ascii="Garamond" w:hAnsi="Garamond"/>
          <w:sz w:val="24"/>
          <w:szCs w:val="24"/>
          <w:lang w:val="en-US"/>
        </w:rPr>
        <w:t xml:space="preserve"> budget’</w:t>
      </w:r>
      <w:r w:rsidRPr="004E01A9">
        <w:rPr>
          <w:rFonts w:ascii="Garamond" w:hAnsi="Garamond"/>
          <w:sz w:val="24"/>
          <w:szCs w:val="24"/>
          <w:lang w:val="en-US"/>
        </w:rPr>
        <w:t xml:space="preserve">, which can be </w:t>
      </w:r>
      <w:r>
        <w:rPr>
          <w:rFonts w:ascii="Garamond" w:hAnsi="Garamond"/>
          <w:sz w:val="24"/>
          <w:szCs w:val="24"/>
          <w:lang w:val="en-US"/>
        </w:rPr>
        <w:t xml:space="preserve">accessed </w:t>
      </w:r>
      <w:hyperlink r:id="rId10" w:history="1">
        <w:r w:rsidRPr="0064302B">
          <w:rPr>
            <w:rStyle w:val="Hyperlink"/>
            <w:rFonts w:ascii="Garamond" w:hAnsi="Garamond"/>
            <w:sz w:val="24"/>
            <w:szCs w:val="24"/>
            <w:lang w:val="en-US"/>
          </w:rPr>
          <w:t>here</w:t>
        </w:r>
      </w:hyperlink>
      <w:r>
        <w:rPr>
          <w:rFonts w:ascii="Garamond" w:hAnsi="Garamond"/>
          <w:sz w:val="24"/>
          <w:szCs w:val="24"/>
          <w:lang w:val="en-US"/>
        </w:rPr>
        <w:t xml:space="preserve">. </w:t>
      </w:r>
    </w:p>
    <w:p w:rsidR="00DB6A68" w:rsidRPr="00BD33CD" w:rsidRDefault="00DB6A68" w:rsidP="00DB6A68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0A4863">
        <w:rPr>
          <w:rFonts w:ascii="Garamond" w:hAnsi="Garamond"/>
          <w:sz w:val="24"/>
          <w:szCs w:val="24"/>
          <w:lang w:val="en-US"/>
        </w:rPr>
        <w:t xml:space="preserve">A Results Framework, describing main outputs, outcomes and means of verification (maximum three outcomes with maximum three outputs each). </w:t>
      </w:r>
      <w:r>
        <w:rPr>
          <w:rFonts w:ascii="Garamond" w:hAnsi="Garamond"/>
          <w:sz w:val="24"/>
          <w:szCs w:val="24"/>
          <w:lang w:val="en-US"/>
        </w:rPr>
        <w:t>The Results Framework will</w:t>
      </w:r>
      <w:r w:rsidRPr="008325B4">
        <w:rPr>
          <w:rFonts w:ascii="Garamond" w:hAnsi="Garamond"/>
          <w:sz w:val="24"/>
          <w:szCs w:val="24"/>
          <w:lang w:val="en-US"/>
        </w:rPr>
        <w:t xml:space="preserve"> be updated after </w:t>
      </w:r>
      <w:r>
        <w:rPr>
          <w:rFonts w:ascii="Garamond" w:hAnsi="Garamond"/>
          <w:sz w:val="24"/>
          <w:szCs w:val="24"/>
          <w:lang w:val="en-US"/>
        </w:rPr>
        <w:t xml:space="preserve">the </w:t>
      </w:r>
      <w:r w:rsidRPr="008325B4">
        <w:rPr>
          <w:rFonts w:ascii="Garamond" w:hAnsi="Garamond"/>
          <w:sz w:val="24"/>
          <w:szCs w:val="24"/>
          <w:lang w:val="en-US"/>
        </w:rPr>
        <w:t>inception phase</w:t>
      </w:r>
      <w:r>
        <w:rPr>
          <w:rFonts w:ascii="Garamond" w:hAnsi="Garamond"/>
          <w:sz w:val="24"/>
          <w:szCs w:val="24"/>
          <w:lang w:val="en-US"/>
        </w:rPr>
        <w:t xml:space="preserve"> (see format above)</w:t>
      </w:r>
      <w:r w:rsidRPr="008325B4">
        <w:rPr>
          <w:rFonts w:ascii="Garamond" w:hAnsi="Garamond"/>
          <w:sz w:val="24"/>
          <w:szCs w:val="24"/>
          <w:lang w:val="en-US"/>
        </w:rPr>
        <w:t>.</w:t>
      </w:r>
    </w:p>
    <w:p w:rsidR="00DB6A68" w:rsidRPr="00860930" w:rsidRDefault="00DB6A68" w:rsidP="00DB6A68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860930">
        <w:rPr>
          <w:rFonts w:ascii="Garamond" w:hAnsi="Garamond"/>
          <w:sz w:val="24"/>
          <w:szCs w:val="24"/>
          <w:lang w:val="en-US"/>
        </w:rPr>
        <w:t xml:space="preserve">Documentation of the applicant’s experience with administration of development financing (i.e. latest capacity assessment), </w:t>
      </w:r>
    </w:p>
    <w:p w:rsidR="00DB6A68" w:rsidRPr="00B0631E" w:rsidRDefault="00DB6A68" w:rsidP="00DB6A68">
      <w:pPr>
        <w:pStyle w:val="Listeafsnit"/>
        <w:numPr>
          <w:ilvl w:val="0"/>
          <w:numId w:val="1"/>
        </w:numPr>
        <w:spacing w:after="0"/>
        <w:rPr>
          <w:rFonts w:ascii="Garamond" w:hAnsi="Garamond"/>
          <w:color w:val="000000"/>
          <w:sz w:val="24"/>
          <w:szCs w:val="24"/>
          <w:lang w:val="en-US"/>
        </w:rPr>
      </w:pPr>
      <w:r w:rsidRPr="00B0631E">
        <w:rPr>
          <w:rFonts w:ascii="Garamond" w:hAnsi="Garamond"/>
          <w:sz w:val="24"/>
          <w:szCs w:val="24"/>
          <w:lang w:val="en-US"/>
        </w:rPr>
        <w:t>Documentation of applicant’s experience working in the thematic area.</w:t>
      </w:r>
    </w:p>
    <w:p w:rsidR="00DB6A68" w:rsidRPr="00B0631E" w:rsidRDefault="00DB6A68" w:rsidP="00DB6A68">
      <w:pPr>
        <w:pStyle w:val="Listeafsni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  <w:lang w:val="en-US"/>
        </w:rPr>
      </w:pPr>
      <w:r w:rsidRPr="00B0631E">
        <w:rPr>
          <w:rFonts w:ascii="Garamond" w:hAnsi="Garamond"/>
          <w:sz w:val="24"/>
          <w:szCs w:val="24"/>
          <w:lang w:val="en-US"/>
        </w:rPr>
        <w:t xml:space="preserve">Listing and description of national partner </w:t>
      </w:r>
      <w:proofErr w:type="spellStart"/>
      <w:r w:rsidRPr="00B0631E">
        <w:rPr>
          <w:rFonts w:ascii="Garamond" w:hAnsi="Garamond"/>
          <w:sz w:val="24"/>
          <w:szCs w:val="24"/>
          <w:lang w:val="en-US"/>
        </w:rPr>
        <w:t>organisations</w:t>
      </w:r>
      <w:proofErr w:type="spellEnd"/>
      <w:r w:rsidRPr="00B0631E">
        <w:rPr>
          <w:rFonts w:ascii="Garamond" w:hAnsi="Garamond"/>
          <w:sz w:val="24"/>
          <w:szCs w:val="24"/>
          <w:lang w:val="en-US"/>
        </w:rPr>
        <w:t xml:space="preserve">, including short assessment of capacity and previous results in the thematic area. </w:t>
      </w:r>
    </w:p>
    <w:p w:rsidR="00DB6A68" w:rsidRPr="00F403C8" w:rsidRDefault="00DB6A68" w:rsidP="00DB6A68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 w:rsidRPr="00B0631E">
        <w:rPr>
          <w:rFonts w:ascii="Garamond" w:hAnsi="Garamond"/>
          <w:sz w:val="24"/>
          <w:szCs w:val="24"/>
          <w:lang w:val="en-US"/>
        </w:rPr>
        <w:t>Process</w:t>
      </w:r>
      <w:r w:rsidRPr="00F403C8">
        <w:rPr>
          <w:rFonts w:ascii="Garamond" w:hAnsi="Garamond"/>
          <w:sz w:val="24"/>
          <w:szCs w:val="24"/>
          <w:lang w:val="en-US"/>
        </w:rPr>
        <w:t xml:space="preserve"> Action Plan</w:t>
      </w:r>
    </w:p>
    <w:p w:rsidR="007D2987" w:rsidRDefault="007D2987"/>
    <w:sectPr w:rsidR="007D29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68" w:rsidRDefault="00DB6A68" w:rsidP="00DB6A68">
      <w:pPr>
        <w:spacing w:after="0" w:line="240" w:lineRule="auto"/>
      </w:pPr>
      <w:r>
        <w:separator/>
      </w:r>
    </w:p>
  </w:endnote>
  <w:endnote w:type="continuationSeparator" w:id="0">
    <w:p w:rsidR="00DB6A68" w:rsidRDefault="00DB6A68" w:rsidP="00DB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68" w:rsidRDefault="00DB6A68" w:rsidP="00DB6A68">
      <w:pPr>
        <w:spacing w:after="0" w:line="240" w:lineRule="auto"/>
      </w:pPr>
      <w:r>
        <w:separator/>
      </w:r>
    </w:p>
  </w:footnote>
  <w:footnote w:type="continuationSeparator" w:id="0">
    <w:p w:rsidR="00DB6A68" w:rsidRDefault="00DB6A68" w:rsidP="00DB6A68">
      <w:pPr>
        <w:spacing w:after="0" w:line="240" w:lineRule="auto"/>
      </w:pPr>
      <w:r>
        <w:continuationSeparator/>
      </w:r>
    </w:p>
  </w:footnote>
  <w:footnote w:id="1">
    <w:p w:rsidR="00DB6A68" w:rsidRDefault="00DB6A68" w:rsidP="00DB6A68">
      <w:pPr>
        <w:pStyle w:val="NormalWeb"/>
        <w:rPr>
          <w:rFonts w:ascii="Segoe UI Light" w:hAnsi="Segoe UI Light" w:cs="Segoe UI Light"/>
          <w:color w:val="363636"/>
          <w:sz w:val="28"/>
          <w:szCs w:val="28"/>
          <w:lang w:val="en-US"/>
        </w:rPr>
      </w:pPr>
      <w:r>
        <w:rPr>
          <w:rStyle w:val="Fodnotehenvisning"/>
        </w:rPr>
        <w:footnoteRef/>
      </w:r>
      <w:r w:rsidRPr="00FB7AEF">
        <w:rPr>
          <w:lang w:val="en-US"/>
        </w:rPr>
        <w:t xml:space="preserve"> </w:t>
      </w:r>
      <w:r>
        <w:rPr>
          <w:rFonts w:ascii="Segoe UI Light" w:hAnsi="Segoe UI Light" w:cs="Segoe UI Light"/>
          <w:color w:val="363636"/>
          <w:sz w:val="28"/>
          <w:szCs w:val="28"/>
          <w:lang w:val="en-US"/>
        </w:rPr>
        <w:t>“</w:t>
      </w:r>
      <w:hyperlink r:id="rId1" w:history="1">
        <w:r w:rsidRPr="00FB7AEF">
          <w:rPr>
            <w:rStyle w:val="Hyperlink"/>
            <w:rFonts w:ascii="Segoe UI Light" w:hAnsi="Segoe UI Light" w:cs="Segoe UI Light"/>
            <w:sz w:val="20"/>
            <w:szCs w:val="20"/>
            <w:lang w:val="en-US"/>
          </w:rPr>
          <w:t>HOW WE PROCESS PERSONAL INFORMATION</w:t>
        </w:r>
      </w:hyperlink>
      <w:r w:rsidRPr="00FB7AEF">
        <w:rPr>
          <w:rFonts w:ascii="Segoe UI Light" w:hAnsi="Segoe UI Light" w:cs="Segoe UI Light"/>
          <w:color w:val="363636"/>
          <w:sz w:val="20"/>
          <w:szCs w:val="20"/>
          <w:lang w:val="en-US"/>
        </w:rPr>
        <w:t>”</w:t>
      </w:r>
    </w:p>
    <w:p w:rsidR="00DB6A68" w:rsidRPr="00FB7AEF" w:rsidRDefault="00DB6A68" w:rsidP="00DB6A68">
      <w:pPr>
        <w:pStyle w:val="Fodnoteteks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A58"/>
    <w:multiLevelType w:val="multilevel"/>
    <w:tmpl w:val="2242C4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523047DB"/>
    <w:multiLevelType w:val="hybridMultilevel"/>
    <w:tmpl w:val="B406DD88"/>
    <w:lvl w:ilvl="0" w:tplc="315E3C1A">
      <w:start w:val="1"/>
      <w:numFmt w:val="decimal"/>
      <w:lvlText w:val="%1)"/>
      <w:lvlJc w:val="left"/>
      <w:pPr>
        <w:ind w:left="644" w:hanging="360"/>
      </w:pPr>
      <w:rPr>
        <w:rFonts w:ascii="Garamond" w:hAnsi="Garamond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F51154"/>
    <w:multiLevelType w:val="hybridMultilevel"/>
    <w:tmpl w:val="CDEED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68"/>
    <w:rsid w:val="006F6220"/>
    <w:rsid w:val="007D2987"/>
    <w:rsid w:val="00DB6A68"/>
    <w:rsid w:val="00F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19D0"/>
  <w15:chartTrackingRefBased/>
  <w15:docId w15:val="{5AA025D0-0168-44A8-BC01-B9279A21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A68"/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DB6A68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semiHidden/>
    <w:rsid w:val="00DB6A68"/>
    <w:rPr>
      <w:rFonts w:ascii="Cambria" w:eastAsia="SimSun" w:hAnsi="Cambria" w:cs="Times New Roman"/>
      <w:b/>
      <w:bCs/>
      <w:sz w:val="26"/>
      <w:szCs w:val="26"/>
      <w:lang w:eastAsia="da-DK"/>
    </w:rPr>
  </w:style>
  <w:style w:type="table" w:styleId="Tabel-Gitter">
    <w:name w:val="Table Grid"/>
    <w:basedOn w:val="Tabel-Normal"/>
    <w:uiPriority w:val="59"/>
    <w:rsid w:val="00DB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eafsnitTegn"/>
    <w:uiPriority w:val="34"/>
    <w:qFormat/>
    <w:rsid w:val="00DB6A68"/>
    <w:pPr>
      <w:ind w:left="720"/>
      <w:contextualSpacing/>
    </w:pPr>
  </w:style>
  <w:style w:type="paragraph" w:customStyle="1" w:styleId="Default">
    <w:name w:val="Default"/>
    <w:rsid w:val="00DB6A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DB6A68"/>
    <w:rPr>
      <w:color w:val="0000FF" w:themeColor="hyperlink"/>
      <w:u w:val="single"/>
    </w:rPr>
  </w:style>
  <w:style w:type="character" w:customStyle="1" w:styleId="ListeafsnitTegn">
    <w:name w:val="Listeafsnit Tegn"/>
    <w:aliases w:val="List Paragraph (numbered (a)) Tegn,Lapis Bulleted List Tegn,paragraph Tegn,normal Tegn,Normal2 Tegn,Normal3 Tegn,Normal4 Tegn,Normal5 Tegn,Normal6 Tegn,Normal7 Tegn,Bullets Tegn,References Tegn,Liste 1 Tegn,List Paragraph nowy Tegn"/>
    <w:link w:val="Listeafsnit"/>
    <w:uiPriority w:val="34"/>
    <w:locked/>
    <w:rsid w:val="00DB6A68"/>
  </w:style>
  <w:style w:type="paragraph" w:styleId="NormalWeb">
    <w:name w:val="Normal (Web)"/>
    <w:basedOn w:val="Normal"/>
    <w:uiPriority w:val="99"/>
    <w:unhideWhenUsed/>
    <w:rsid w:val="00DB6A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B6A6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B6A68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B6A68"/>
  </w:style>
  <w:style w:type="character" w:styleId="BesgtLink">
    <w:name w:val="FollowedHyperlink"/>
    <w:basedOn w:val="Standardskrifttypeiafsnit"/>
    <w:uiPriority w:val="99"/>
    <w:semiHidden/>
    <w:unhideWhenUsed/>
    <w:rsid w:val="00DB6A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dk/danida/samarbejspartnere/civ-org/adm-ret/tilskudsforvaltning/enkeltprojek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g.um.dk/-/media/country-sites/amg-en/bilateral-cooperation/guidelines-for-country-strategic-frameworks-programmes-and-projects/formulation-quality-assurance-and-approval/mini-project-document.ash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m.dk/danida/samarbejspartnere/civ-org/adm-ret/tilskudsforvaltning/enkeltprojek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g.um.dk/bilateral-cooperation/financial-manageme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m.dk/da/om-os/kontakt/udenrigsministeriets-privatlivspoliti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5872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Richter Larsen</dc:creator>
  <cp:keywords/>
  <dc:description/>
  <cp:lastModifiedBy>Svea Hejl Jensen</cp:lastModifiedBy>
  <cp:revision>2</cp:revision>
  <dcterms:created xsi:type="dcterms:W3CDTF">2024-05-01T12:34:00Z</dcterms:created>
  <dcterms:modified xsi:type="dcterms:W3CDTF">2024-05-01T12:34:00Z</dcterms:modified>
</cp:coreProperties>
</file>