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F40D" w14:textId="5DB542CB" w:rsidR="004627FE" w:rsidRDefault="004627FE">
      <w:pPr>
        <w:rPr>
          <w:lang w:val="en-US"/>
        </w:rPr>
      </w:pPr>
      <w:r>
        <w:rPr>
          <w:lang w:val="en-US"/>
        </w:rPr>
        <w:t>Page 5</w:t>
      </w:r>
    </w:p>
    <w:p w14:paraId="3D3700C3" w14:textId="7C8A45A4" w:rsidR="006F424C" w:rsidRDefault="00CA3D80">
      <w:pPr>
        <w:rPr>
          <w:lang w:val="en-US"/>
        </w:rPr>
      </w:pPr>
      <w:r>
        <w:rPr>
          <w:lang w:val="en-US"/>
        </w:rPr>
        <w:t>The s</w:t>
      </w:r>
      <w:r w:rsidR="004627FE" w:rsidRPr="004627FE">
        <w:rPr>
          <w:lang w:val="en-US"/>
        </w:rPr>
        <w:t xml:space="preserve">trategic goals and overall approach </w:t>
      </w:r>
      <w:r>
        <w:rPr>
          <w:lang w:val="en-US"/>
        </w:rPr>
        <w:t xml:space="preserve">as outlined in the </w:t>
      </w:r>
      <w:r w:rsidR="001E1752">
        <w:rPr>
          <w:lang w:val="en-US"/>
        </w:rPr>
        <w:t xml:space="preserve">framework </w:t>
      </w:r>
      <w:r w:rsidR="004627FE" w:rsidRPr="004627FE">
        <w:rPr>
          <w:lang w:val="en-US"/>
        </w:rPr>
        <w:t>a</w:t>
      </w:r>
      <w:r w:rsidR="004627FE">
        <w:rPr>
          <w:lang w:val="en-US"/>
        </w:rPr>
        <w:t xml:space="preserve">re </w:t>
      </w:r>
      <w:r>
        <w:rPr>
          <w:lang w:val="en-US"/>
        </w:rPr>
        <w:t xml:space="preserve">very </w:t>
      </w:r>
      <w:r w:rsidR="004627FE">
        <w:rPr>
          <w:lang w:val="en-US"/>
        </w:rPr>
        <w:t xml:space="preserve">well received. In particular, it is </w:t>
      </w:r>
      <w:r>
        <w:rPr>
          <w:lang w:val="en-US"/>
        </w:rPr>
        <w:t xml:space="preserve">welcomed that a reference to the </w:t>
      </w:r>
      <w:r w:rsidR="004627FE">
        <w:rPr>
          <w:lang w:val="en-US"/>
        </w:rPr>
        <w:t>accession process towards EU membership</w:t>
      </w:r>
      <w:r>
        <w:rPr>
          <w:lang w:val="en-US"/>
        </w:rPr>
        <w:t xml:space="preserve"> is made</w:t>
      </w:r>
      <w:r w:rsidR="004627FE">
        <w:rPr>
          <w:lang w:val="en-US"/>
        </w:rPr>
        <w:t>.</w:t>
      </w:r>
      <w:r>
        <w:rPr>
          <w:lang w:val="en-US"/>
        </w:rPr>
        <w:t xml:space="preserve"> It is </w:t>
      </w:r>
      <w:r w:rsidR="008B765D">
        <w:rPr>
          <w:lang w:val="en-US"/>
        </w:rPr>
        <w:t xml:space="preserve">important that the goals, approach and efforts made are aligned with the EU acquis. </w:t>
      </w:r>
      <w:r w:rsidR="004627FE">
        <w:rPr>
          <w:lang w:val="en-US"/>
        </w:rPr>
        <w:t xml:space="preserve"> </w:t>
      </w:r>
    </w:p>
    <w:p w14:paraId="303179B6" w14:textId="68138968" w:rsidR="004627FE" w:rsidRDefault="004627FE">
      <w:pPr>
        <w:rPr>
          <w:lang w:val="en-US"/>
        </w:rPr>
      </w:pPr>
      <w:r>
        <w:rPr>
          <w:lang w:val="en-US"/>
        </w:rPr>
        <w:t>Page 11</w:t>
      </w:r>
    </w:p>
    <w:p w14:paraId="26FF1220" w14:textId="6BA24D3C" w:rsidR="004627FE" w:rsidRDefault="004627FE">
      <w:pPr>
        <w:rPr>
          <w:lang w:val="en-US"/>
        </w:rPr>
      </w:pPr>
      <w:r>
        <w:rPr>
          <w:lang w:val="en-US"/>
        </w:rPr>
        <w:t>It is welcomed that it is mentioned that the efforts will “need to be organized with the flexibility to address the changing urgent needs”.</w:t>
      </w:r>
      <w:r w:rsidR="00CA3D80">
        <w:rPr>
          <w:lang w:val="en-US"/>
        </w:rPr>
        <w:t xml:space="preserve"> No need, the whole situation calls for flexibility – and not only with regard to the “urgent needs”, also with regard to the short term needs (i.e. till 2028).  </w:t>
      </w:r>
    </w:p>
    <w:p w14:paraId="6025C7CA" w14:textId="5300F1E3" w:rsidR="004627FE" w:rsidRDefault="004627FE">
      <w:pPr>
        <w:rPr>
          <w:lang w:val="en-US"/>
        </w:rPr>
      </w:pPr>
      <w:r>
        <w:rPr>
          <w:lang w:val="en-US"/>
        </w:rPr>
        <w:t>Page 12</w:t>
      </w:r>
    </w:p>
    <w:p w14:paraId="1C842632" w14:textId="02C377F1" w:rsidR="00CA3D80" w:rsidRDefault="004627FE">
      <w:pPr>
        <w:rPr>
          <w:lang w:val="en-US"/>
        </w:rPr>
      </w:pPr>
      <w:r>
        <w:rPr>
          <w:lang w:val="en-US"/>
        </w:rPr>
        <w:t xml:space="preserve">Reference to the request from the Mayor of Mykolaiv </w:t>
      </w:r>
      <w:r w:rsidR="00CA3D80">
        <w:rPr>
          <w:lang w:val="en-US"/>
        </w:rPr>
        <w:t xml:space="preserve">in 2022 </w:t>
      </w:r>
      <w:r>
        <w:rPr>
          <w:lang w:val="en-US"/>
        </w:rPr>
        <w:t xml:space="preserve">of Danish assistance to develop the Mykolaiv Masterplan with a time horizon till 2050 and subsequent Danish assistance in this regard </w:t>
      </w:r>
      <w:r w:rsidR="00CA3D80">
        <w:rPr>
          <w:lang w:val="en-US"/>
        </w:rPr>
        <w:t xml:space="preserve">in 2023-2024 </w:t>
      </w:r>
      <w:r>
        <w:rPr>
          <w:lang w:val="en-US"/>
        </w:rPr>
        <w:t>with a focus on water, energy and solid waste is missing. Likewise reference to the 2027 Strategy approved by the Mykolaiv City Council</w:t>
      </w:r>
      <w:r w:rsidR="00CA3D80">
        <w:rPr>
          <w:lang w:val="en-US"/>
        </w:rPr>
        <w:t xml:space="preserve"> in 2024 is missing; this </w:t>
      </w:r>
      <w:r>
        <w:rPr>
          <w:lang w:val="en-US"/>
        </w:rPr>
        <w:t>strategy</w:t>
      </w:r>
      <w:r w:rsidR="00CA3D80">
        <w:rPr>
          <w:lang w:val="en-US"/>
        </w:rPr>
        <w:t xml:space="preserve"> is </w:t>
      </w:r>
      <w:r>
        <w:rPr>
          <w:lang w:val="en-US"/>
        </w:rPr>
        <w:t xml:space="preserve"> </w:t>
      </w:r>
      <w:r w:rsidR="00CA3D80">
        <w:rPr>
          <w:lang w:val="en-US"/>
        </w:rPr>
        <w:t>fully alig</w:t>
      </w:r>
      <w:r>
        <w:rPr>
          <w:lang w:val="en-US"/>
        </w:rPr>
        <w:t>ned with the masterplan.</w:t>
      </w:r>
      <w:r w:rsidR="00CA3D80">
        <w:rPr>
          <w:lang w:val="en-US"/>
        </w:rPr>
        <w:t xml:space="preserve"> Documents prepared as part of Danish assistance to the masterplan will be made public available in the near future on the website of the Mykolaiv City Council; the 2027 strategy has been made public available. </w:t>
      </w:r>
    </w:p>
    <w:p w14:paraId="1C63515B" w14:textId="77777777" w:rsidR="00CA3D80" w:rsidRDefault="00CA3D80">
      <w:pPr>
        <w:rPr>
          <w:lang w:val="en-US"/>
        </w:rPr>
      </w:pPr>
      <w:r>
        <w:rPr>
          <w:lang w:val="en-US"/>
        </w:rPr>
        <w:t>It is strongly suggested making a reference to, especially, the Mykolaiv Masterplan (or to be precise the Concept of the Mykolaiv Masterplan, which is the title of the documents prepared and presented in July 2024 and endorsed by the Mayor of Mykolaiv and the Chairman of the Mykolaiv City Council). There are several reasons for this:</w:t>
      </w:r>
    </w:p>
    <w:p w14:paraId="23090BED" w14:textId="77777777" w:rsidR="008B765D" w:rsidRDefault="008B765D" w:rsidP="00CA3D80">
      <w:pPr>
        <w:pStyle w:val="ListBullet"/>
        <w:rPr>
          <w:lang w:val="en-US"/>
        </w:rPr>
      </w:pPr>
      <w:r>
        <w:rPr>
          <w:lang w:val="en-US"/>
        </w:rPr>
        <w:t>Mykolaiv City is, to the best of our knowledge, the only city in Ukraine, which has insisted on developing a masterplan with a time horizon till 2050.</w:t>
      </w:r>
    </w:p>
    <w:p w14:paraId="1292BBE7" w14:textId="2F871CA3" w:rsidR="008B765D" w:rsidRPr="004627FE" w:rsidRDefault="008B765D" w:rsidP="008B765D">
      <w:pPr>
        <w:pStyle w:val="ListBullet"/>
        <w:rPr>
          <w:lang w:val="en-US"/>
        </w:rPr>
      </w:pPr>
      <w:r>
        <w:rPr>
          <w:lang w:val="en-US"/>
        </w:rPr>
        <w:t xml:space="preserve">The </w:t>
      </w:r>
      <w:r>
        <w:rPr>
          <w:lang w:val="en-US"/>
        </w:rPr>
        <w:t xml:space="preserve">masterplan </w:t>
      </w:r>
      <w:r>
        <w:rPr>
          <w:lang w:val="en-US"/>
        </w:rPr>
        <w:t xml:space="preserve">bridges the urgent and short terms measures with the mid and long term measures, thereby ensuring efforts made today will not have to be reversed in future.     </w:t>
      </w:r>
    </w:p>
    <w:p w14:paraId="57CC5A32" w14:textId="77777777" w:rsidR="008B765D" w:rsidRDefault="008B765D" w:rsidP="00CA3D80">
      <w:pPr>
        <w:pStyle w:val="ListBullet"/>
        <w:rPr>
          <w:lang w:val="en-US"/>
        </w:rPr>
      </w:pPr>
      <w:r>
        <w:rPr>
          <w:lang w:val="en-US"/>
        </w:rPr>
        <w:t>Government bodies in Ukraine, at all levels, as well as IFIs and donors</w:t>
      </w:r>
      <w:r w:rsidR="00CA3D80">
        <w:rPr>
          <w:lang w:val="en-US"/>
        </w:rPr>
        <w:t xml:space="preserve"> </w:t>
      </w:r>
      <w:r>
        <w:rPr>
          <w:lang w:val="en-US"/>
        </w:rPr>
        <w:t>eager to support the already ongoing rebuilding of Ukraine, have taken very good note of this. The reason being that, especially, the Priority Investment Programs (PIPs) for water, energy and waste constituting a part of the masterplan constitute a solid starting point for selection, development and implementation of infrastructure projects, since they have been developed with a view to existing situation and a vision for the situation in 2050.</w:t>
      </w:r>
    </w:p>
    <w:p w14:paraId="2F7F2BCF" w14:textId="77777777" w:rsidR="008B765D" w:rsidRDefault="008B765D" w:rsidP="008B765D">
      <w:pPr>
        <w:pStyle w:val="ListBullet"/>
        <w:numPr>
          <w:ilvl w:val="0"/>
          <w:numId w:val="0"/>
        </w:numPr>
        <w:rPr>
          <w:lang w:val="en-US"/>
        </w:rPr>
      </w:pPr>
    </w:p>
    <w:p w14:paraId="6C2227FC" w14:textId="6E2639A3" w:rsidR="008E4663" w:rsidRDefault="008E4663" w:rsidP="008B765D">
      <w:pPr>
        <w:pStyle w:val="ListBullet"/>
        <w:numPr>
          <w:ilvl w:val="0"/>
          <w:numId w:val="0"/>
        </w:numPr>
        <w:rPr>
          <w:lang w:val="en-US"/>
        </w:rPr>
      </w:pPr>
      <w:r>
        <w:rPr>
          <w:lang w:val="en-US"/>
        </w:rPr>
        <w:t>Page 15</w:t>
      </w:r>
    </w:p>
    <w:p w14:paraId="3E0CF673" w14:textId="77777777" w:rsidR="008E4663" w:rsidRDefault="008E4663" w:rsidP="008B765D">
      <w:pPr>
        <w:pStyle w:val="ListBullet"/>
        <w:numPr>
          <w:ilvl w:val="0"/>
          <w:numId w:val="0"/>
        </w:numPr>
        <w:rPr>
          <w:lang w:val="en-US"/>
        </w:rPr>
      </w:pPr>
    </w:p>
    <w:p w14:paraId="430546D0" w14:textId="77777777" w:rsidR="008E4663" w:rsidRDefault="008E4663" w:rsidP="008B765D">
      <w:pPr>
        <w:pStyle w:val="ListBullet"/>
        <w:numPr>
          <w:ilvl w:val="0"/>
          <w:numId w:val="0"/>
        </w:numPr>
        <w:rPr>
          <w:lang w:val="en-US"/>
        </w:rPr>
      </w:pPr>
      <w:r>
        <w:rPr>
          <w:lang w:val="en-US"/>
        </w:rPr>
        <w:t xml:space="preserve">The “need for having national authorities and partners to take on the responsibility for actual implementation” is highlighted. For good reasons. It raises an important and anything but easy discussion. The reason being that government bodies, at all levels, suffer from a number of weaknesses. Probably, the way forward in this respect is twofold: First, facilitate institutional strengthening and encourage government bodies, at all levels, and partners to take over responsibility. Second, facilitate communication between government bodies, at different levels and at the same level, so as to promote the exchange of lessons learned and good ideas. </w:t>
      </w:r>
    </w:p>
    <w:p w14:paraId="41BDFBAD" w14:textId="77777777" w:rsidR="008E4663" w:rsidRDefault="008E4663" w:rsidP="008B765D">
      <w:pPr>
        <w:pStyle w:val="ListBullet"/>
        <w:numPr>
          <w:ilvl w:val="0"/>
          <w:numId w:val="0"/>
        </w:numPr>
        <w:rPr>
          <w:lang w:val="en-US"/>
        </w:rPr>
      </w:pPr>
    </w:p>
    <w:p w14:paraId="0CF4EC10" w14:textId="03116CCC" w:rsidR="008E4663" w:rsidRDefault="008E4663" w:rsidP="008B765D">
      <w:pPr>
        <w:pStyle w:val="ListBullet"/>
        <w:numPr>
          <w:ilvl w:val="0"/>
          <w:numId w:val="0"/>
        </w:numPr>
        <w:rPr>
          <w:lang w:val="en-US"/>
        </w:rPr>
      </w:pPr>
      <w:r>
        <w:rPr>
          <w:lang w:val="en-US"/>
        </w:rPr>
        <w:t xml:space="preserve">Page 19  </w:t>
      </w:r>
    </w:p>
    <w:p w14:paraId="3C778E8D" w14:textId="615820F3" w:rsidR="008E4663" w:rsidRDefault="008E4663" w:rsidP="008B765D">
      <w:pPr>
        <w:pStyle w:val="ListBullet"/>
        <w:numPr>
          <w:ilvl w:val="0"/>
          <w:numId w:val="0"/>
        </w:numPr>
        <w:rPr>
          <w:lang w:val="en-US"/>
        </w:rPr>
      </w:pPr>
      <w:r>
        <w:rPr>
          <w:lang w:val="en-US"/>
        </w:rPr>
        <w:t xml:space="preserve">  </w:t>
      </w:r>
    </w:p>
    <w:p w14:paraId="3FD3A58C" w14:textId="456F21D1" w:rsidR="008E4663" w:rsidRDefault="008E4663" w:rsidP="008B765D">
      <w:pPr>
        <w:pStyle w:val="ListBullet"/>
        <w:numPr>
          <w:ilvl w:val="0"/>
          <w:numId w:val="0"/>
        </w:numPr>
        <w:rPr>
          <w:lang w:val="en-US"/>
        </w:rPr>
      </w:pPr>
      <w:r>
        <w:rPr>
          <w:lang w:val="en-US"/>
        </w:rPr>
        <w:t xml:space="preserve">In the box on strategic goal 2, SDG 17 is not referred to in the text, only </w:t>
      </w:r>
      <w:r w:rsidR="00133173">
        <w:rPr>
          <w:lang w:val="en-US"/>
        </w:rPr>
        <w:t xml:space="preserve">a picture is shown. </w:t>
      </w:r>
    </w:p>
    <w:p w14:paraId="360AC653" w14:textId="086FCE86" w:rsidR="00133173" w:rsidRDefault="00133173" w:rsidP="008B765D">
      <w:pPr>
        <w:pStyle w:val="ListBullet"/>
        <w:numPr>
          <w:ilvl w:val="0"/>
          <w:numId w:val="0"/>
        </w:numPr>
        <w:rPr>
          <w:lang w:val="en-US"/>
        </w:rPr>
      </w:pPr>
      <w:r>
        <w:rPr>
          <w:lang w:val="en-US"/>
        </w:rPr>
        <w:lastRenderedPageBreak/>
        <w:t>Pages 30 and 43</w:t>
      </w:r>
    </w:p>
    <w:p w14:paraId="1C8B5EFB" w14:textId="77777777" w:rsidR="00133173" w:rsidRDefault="00133173" w:rsidP="008B765D">
      <w:pPr>
        <w:pStyle w:val="ListBullet"/>
        <w:numPr>
          <w:ilvl w:val="0"/>
          <w:numId w:val="0"/>
        </w:numPr>
        <w:rPr>
          <w:lang w:val="en-US"/>
        </w:rPr>
      </w:pPr>
    </w:p>
    <w:p w14:paraId="65037D27" w14:textId="70C9CAA3" w:rsidR="00133173" w:rsidRDefault="00133173" w:rsidP="008B765D">
      <w:pPr>
        <w:pStyle w:val="ListBullet"/>
        <w:numPr>
          <w:ilvl w:val="0"/>
          <w:numId w:val="0"/>
        </w:numPr>
        <w:rPr>
          <w:lang w:val="en-US"/>
        </w:rPr>
      </w:pPr>
      <w:r>
        <w:rPr>
          <w:lang w:val="en-US"/>
        </w:rPr>
        <w:t xml:space="preserve">The framework pays much attention to the need to ensure job creation. The need for “sustainable and just economic growth”, “restoration of the private sector” and “economic development and sustainable growth” is referred to throughout the </w:t>
      </w:r>
      <w:r w:rsidR="001E1752">
        <w:rPr>
          <w:lang w:val="en-US"/>
        </w:rPr>
        <w:t>framework</w:t>
      </w:r>
      <w:r>
        <w:rPr>
          <w:lang w:val="en-US"/>
        </w:rPr>
        <w:t>. It is very much welcomed since a major challenge in the wake of the war is to ensure job creation and accompanying business development, thereby generating</w:t>
      </w:r>
      <w:r w:rsidR="001E1752">
        <w:rPr>
          <w:lang w:val="en-US"/>
        </w:rPr>
        <w:t xml:space="preserve"> income and</w:t>
      </w:r>
      <w:r>
        <w:rPr>
          <w:lang w:val="en-US"/>
        </w:rPr>
        <w:t xml:space="preserve"> a </w:t>
      </w:r>
      <w:r w:rsidR="001E1752">
        <w:rPr>
          <w:lang w:val="en-US"/>
        </w:rPr>
        <w:t xml:space="preserve">solid </w:t>
      </w:r>
      <w:r>
        <w:rPr>
          <w:lang w:val="en-US"/>
        </w:rPr>
        <w:t>tax base</w:t>
      </w:r>
      <w:r w:rsidR="001E1752">
        <w:rPr>
          <w:lang w:val="en-US"/>
        </w:rPr>
        <w:t>.</w:t>
      </w:r>
    </w:p>
    <w:p w14:paraId="3E346185" w14:textId="77777777" w:rsidR="001E1752" w:rsidRDefault="001E1752" w:rsidP="008B765D">
      <w:pPr>
        <w:pStyle w:val="ListBullet"/>
        <w:numPr>
          <w:ilvl w:val="0"/>
          <w:numId w:val="0"/>
        </w:numPr>
        <w:rPr>
          <w:lang w:val="en-US"/>
        </w:rPr>
      </w:pPr>
    </w:p>
    <w:p w14:paraId="359F3EBF" w14:textId="1F9176F6" w:rsidR="001E1752" w:rsidRDefault="001E1752" w:rsidP="008B765D">
      <w:pPr>
        <w:pStyle w:val="ListBullet"/>
        <w:numPr>
          <w:ilvl w:val="0"/>
          <w:numId w:val="0"/>
        </w:numPr>
        <w:rPr>
          <w:lang w:val="en-US"/>
        </w:rPr>
      </w:pPr>
      <w:r>
        <w:rPr>
          <w:lang w:val="en-US"/>
        </w:rPr>
        <w:t xml:space="preserve">In this connection it may be considered from Danish side to support the development a regional economic development plan for Mykolaiv oblast and city, which may provide guidance on further processing of agricultural products, </w:t>
      </w:r>
      <w:r>
        <w:rPr>
          <w:lang w:val="en-US"/>
        </w:rPr>
        <w:t>location of new export facilities,</w:t>
      </w:r>
      <w:r>
        <w:rPr>
          <w:lang w:val="en-US"/>
        </w:rPr>
        <w:t xml:space="preserve"> digitalization, road improvements and education. Both the oblast and the city have expressed interest in this.  </w:t>
      </w:r>
    </w:p>
    <w:p w14:paraId="5D60EC5D" w14:textId="77777777" w:rsidR="00133173" w:rsidRDefault="00133173" w:rsidP="008B765D">
      <w:pPr>
        <w:pStyle w:val="ListBullet"/>
        <w:numPr>
          <w:ilvl w:val="0"/>
          <w:numId w:val="0"/>
        </w:numPr>
        <w:rPr>
          <w:lang w:val="en-US"/>
        </w:rPr>
      </w:pPr>
    </w:p>
    <w:p w14:paraId="2A4D9B64" w14:textId="77777777" w:rsidR="00133173" w:rsidRDefault="00133173" w:rsidP="008B765D">
      <w:pPr>
        <w:pStyle w:val="ListBullet"/>
        <w:numPr>
          <w:ilvl w:val="0"/>
          <w:numId w:val="0"/>
        </w:numPr>
        <w:rPr>
          <w:lang w:val="en-US"/>
        </w:rPr>
      </w:pPr>
      <w:r>
        <w:rPr>
          <w:lang w:val="en-US"/>
        </w:rPr>
        <w:t>Page 33</w:t>
      </w:r>
    </w:p>
    <w:p w14:paraId="3BC22645" w14:textId="77777777" w:rsidR="00133173" w:rsidRDefault="00133173" w:rsidP="008B765D">
      <w:pPr>
        <w:pStyle w:val="ListBullet"/>
        <w:numPr>
          <w:ilvl w:val="0"/>
          <w:numId w:val="0"/>
        </w:numPr>
        <w:rPr>
          <w:lang w:val="en-US"/>
        </w:rPr>
      </w:pPr>
    </w:p>
    <w:p w14:paraId="3A9DDD97" w14:textId="0F2B1D33" w:rsidR="00133173" w:rsidRDefault="001E1752" w:rsidP="008B765D">
      <w:pPr>
        <w:pStyle w:val="ListBullet"/>
        <w:numPr>
          <w:ilvl w:val="0"/>
          <w:numId w:val="0"/>
        </w:numPr>
        <w:rPr>
          <w:lang w:val="en-US"/>
        </w:rPr>
      </w:pPr>
      <w:r>
        <w:rPr>
          <w:lang w:val="en-US"/>
        </w:rPr>
        <w:t xml:space="preserve">Reference is made to the </w:t>
      </w:r>
      <w:r w:rsidR="00133173">
        <w:rPr>
          <w:lang w:val="en-US"/>
        </w:rPr>
        <w:t>Ukraine Investment Forum</w:t>
      </w:r>
      <w:r>
        <w:rPr>
          <w:lang w:val="en-US"/>
        </w:rPr>
        <w:t xml:space="preserve">, which is good. One may consider referring to the Danish-Ukrainian Business Council established by the </w:t>
      </w:r>
      <w:r w:rsidR="00144964">
        <w:rPr>
          <w:lang w:val="en-US"/>
        </w:rPr>
        <w:t xml:space="preserve">Confederation of </w:t>
      </w:r>
      <w:r>
        <w:rPr>
          <w:lang w:val="en-US"/>
        </w:rPr>
        <w:t>Danish Industry</w:t>
      </w:r>
      <w:r w:rsidR="00144964">
        <w:rPr>
          <w:lang w:val="en-US"/>
        </w:rPr>
        <w:t xml:space="preserve"> and the Federation of Employers of Ukraine – and advocating for coordination and cooperation between the two organizations so as to avoid duplication. </w:t>
      </w:r>
      <w:r>
        <w:rPr>
          <w:lang w:val="en-US"/>
        </w:rPr>
        <w:t xml:space="preserve"> </w:t>
      </w:r>
    </w:p>
    <w:p w14:paraId="2DAD3315" w14:textId="77777777" w:rsidR="00133173" w:rsidRDefault="00133173" w:rsidP="008B765D">
      <w:pPr>
        <w:pStyle w:val="ListBullet"/>
        <w:numPr>
          <w:ilvl w:val="0"/>
          <w:numId w:val="0"/>
        </w:numPr>
        <w:rPr>
          <w:lang w:val="en-US"/>
        </w:rPr>
      </w:pPr>
    </w:p>
    <w:p w14:paraId="30D3419B" w14:textId="52BC6444" w:rsidR="00144964" w:rsidRDefault="00144964" w:rsidP="008B765D">
      <w:pPr>
        <w:pStyle w:val="ListBullet"/>
        <w:numPr>
          <w:ilvl w:val="0"/>
          <w:numId w:val="0"/>
        </w:numPr>
        <w:rPr>
          <w:lang w:val="en-US"/>
        </w:rPr>
      </w:pPr>
      <w:r>
        <w:rPr>
          <w:lang w:val="en-US"/>
        </w:rPr>
        <w:t>Pages 34-35</w:t>
      </w:r>
    </w:p>
    <w:p w14:paraId="31143B05" w14:textId="77777777" w:rsidR="00144964" w:rsidRDefault="00144964" w:rsidP="008B765D">
      <w:pPr>
        <w:pStyle w:val="ListBullet"/>
        <w:numPr>
          <w:ilvl w:val="0"/>
          <w:numId w:val="0"/>
        </w:numPr>
        <w:rPr>
          <w:lang w:val="en-US"/>
        </w:rPr>
      </w:pPr>
    </w:p>
    <w:p w14:paraId="5925A2FF" w14:textId="77777777" w:rsidR="00144964" w:rsidRDefault="00144964" w:rsidP="008B765D">
      <w:pPr>
        <w:pStyle w:val="ListBullet"/>
        <w:numPr>
          <w:ilvl w:val="0"/>
          <w:numId w:val="0"/>
        </w:numPr>
        <w:rPr>
          <w:lang w:val="en-US"/>
        </w:rPr>
      </w:pPr>
      <w:r>
        <w:rPr>
          <w:lang w:val="en-US"/>
        </w:rPr>
        <w:t xml:space="preserve">The overall principles make good sense. Only, it is suggested to add one more, namely: Transparency. The reason being that transparency about projects, activities and, not least, analytical and policy documents prepared as part of the Danish support to Ukraine </w:t>
      </w:r>
      <w:r>
        <w:rPr>
          <w:lang w:val="en-US"/>
        </w:rPr>
        <w:t xml:space="preserve">, ensures findings are disseminated </w:t>
      </w:r>
      <w:r>
        <w:rPr>
          <w:lang w:val="en-US"/>
        </w:rPr>
        <w:t xml:space="preserve">, facilitates coordination and mitigates malpractices. </w:t>
      </w:r>
    </w:p>
    <w:p w14:paraId="36127D6A" w14:textId="77777777" w:rsidR="00144964" w:rsidRDefault="00144964" w:rsidP="008B765D">
      <w:pPr>
        <w:pStyle w:val="ListBullet"/>
        <w:numPr>
          <w:ilvl w:val="0"/>
          <w:numId w:val="0"/>
        </w:numPr>
        <w:rPr>
          <w:lang w:val="en-US"/>
        </w:rPr>
      </w:pPr>
    </w:p>
    <w:p w14:paraId="6DE26D5E" w14:textId="0319CFC9" w:rsidR="00144964" w:rsidRDefault="00144964" w:rsidP="008B765D">
      <w:pPr>
        <w:pStyle w:val="ListBullet"/>
        <w:numPr>
          <w:ilvl w:val="0"/>
          <w:numId w:val="0"/>
        </w:numPr>
        <w:rPr>
          <w:lang w:val="en-US"/>
        </w:rPr>
      </w:pPr>
      <w:r>
        <w:rPr>
          <w:lang w:val="en-US"/>
        </w:rPr>
        <w:t>It could be considered mak</w:t>
      </w:r>
      <w:r w:rsidR="00A923D0">
        <w:rPr>
          <w:lang w:val="en-US"/>
        </w:rPr>
        <w:t>ing</w:t>
      </w:r>
      <w:r>
        <w:rPr>
          <w:lang w:val="en-US"/>
        </w:rPr>
        <w:t xml:space="preserve"> it a requirement to any implementing agency</w:t>
      </w:r>
      <w:r w:rsidR="00A923D0">
        <w:rPr>
          <w:lang w:val="en-US"/>
        </w:rPr>
        <w:t>, consultant</w:t>
      </w:r>
      <w:r>
        <w:rPr>
          <w:lang w:val="en-US"/>
        </w:rPr>
        <w:t xml:space="preserve"> or partner </w:t>
      </w:r>
      <w:r w:rsidR="00A923D0">
        <w:rPr>
          <w:lang w:val="en-US"/>
        </w:rPr>
        <w:t xml:space="preserve">working under the framework that analytical and policy documents prepared are made available in the public domain, one way or the other.   </w:t>
      </w:r>
    </w:p>
    <w:p w14:paraId="1B4C0FA6" w14:textId="77777777" w:rsidR="00144964" w:rsidRDefault="00144964" w:rsidP="008B765D">
      <w:pPr>
        <w:pStyle w:val="ListBullet"/>
        <w:numPr>
          <w:ilvl w:val="0"/>
          <w:numId w:val="0"/>
        </w:numPr>
        <w:rPr>
          <w:lang w:val="en-US"/>
        </w:rPr>
      </w:pPr>
    </w:p>
    <w:p w14:paraId="788FE55A" w14:textId="33889F17" w:rsidR="001E1752" w:rsidRDefault="001E1752" w:rsidP="008B765D">
      <w:pPr>
        <w:pStyle w:val="ListBullet"/>
        <w:numPr>
          <w:ilvl w:val="0"/>
          <w:numId w:val="0"/>
        </w:numPr>
        <w:rPr>
          <w:lang w:val="en-US"/>
        </w:rPr>
      </w:pPr>
      <w:r>
        <w:rPr>
          <w:lang w:val="en-US"/>
        </w:rPr>
        <w:t>Page 45</w:t>
      </w:r>
    </w:p>
    <w:p w14:paraId="20005C60" w14:textId="77777777" w:rsidR="001E1752" w:rsidRDefault="001E1752" w:rsidP="008B765D">
      <w:pPr>
        <w:pStyle w:val="ListBullet"/>
        <w:numPr>
          <w:ilvl w:val="0"/>
          <w:numId w:val="0"/>
        </w:numPr>
        <w:rPr>
          <w:lang w:val="en-US"/>
        </w:rPr>
      </w:pPr>
    </w:p>
    <w:p w14:paraId="11E1835E" w14:textId="77777777" w:rsidR="00A923D0" w:rsidRDefault="00A923D0" w:rsidP="008B765D">
      <w:pPr>
        <w:pStyle w:val="ListBullet"/>
        <w:numPr>
          <w:ilvl w:val="0"/>
          <w:numId w:val="0"/>
        </w:numPr>
        <w:rPr>
          <w:lang w:val="en-US"/>
        </w:rPr>
      </w:pPr>
      <w:r>
        <w:rPr>
          <w:lang w:val="en-US"/>
        </w:rPr>
        <w:t xml:space="preserve">Denmark has paid and pays a lot of attention to the need to fight </w:t>
      </w:r>
      <w:r w:rsidR="001E1752">
        <w:rPr>
          <w:lang w:val="en-US"/>
        </w:rPr>
        <w:t>corruption</w:t>
      </w:r>
      <w:r>
        <w:rPr>
          <w:lang w:val="en-US"/>
        </w:rPr>
        <w:t>. Most notably, Denmark co-finances and leads the EUACI. It’s difficult overestimating the importance of this. Hence, it is very much welcomed that the framework pays attention to this.</w:t>
      </w:r>
    </w:p>
    <w:p w14:paraId="349ED33A" w14:textId="77777777" w:rsidR="00A923D0" w:rsidRDefault="00A923D0" w:rsidP="008B765D">
      <w:pPr>
        <w:pStyle w:val="ListBullet"/>
        <w:numPr>
          <w:ilvl w:val="0"/>
          <w:numId w:val="0"/>
        </w:numPr>
        <w:rPr>
          <w:lang w:val="en-US"/>
        </w:rPr>
      </w:pPr>
    </w:p>
    <w:p w14:paraId="671F8089" w14:textId="2D390CF9" w:rsidR="00133173" w:rsidRPr="004627FE" w:rsidRDefault="00A923D0" w:rsidP="008B765D">
      <w:pPr>
        <w:pStyle w:val="ListBullet"/>
        <w:numPr>
          <w:ilvl w:val="0"/>
          <w:numId w:val="0"/>
        </w:numPr>
        <w:rPr>
          <w:lang w:val="en-US"/>
        </w:rPr>
      </w:pPr>
      <w:r>
        <w:rPr>
          <w:lang w:val="en-US"/>
        </w:rPr>
        <w:t xml:space="preserve">It may be considered to mention that the need to fight corruption, although it focuses on “national and local actors”, </w:t>
      </w:r>
      <w:r w:rsidR="00133173">
        <w:rPr>
          <w:lang w:val="en-US"/>
        </w:rPr>
        <w:t xml:space="preserve"> </w:t>
      </w:r>
      <w:r>
        <w:rPr>
          <w:lang w:val="en-US"/>
        </w:rPr>
        <w:t xml:space="preserve">also addresses international partners (e.g. IFIs, donors and consultancy companies). </w:t>
      </w:r>
    </w:p>
    <w:sectPr w:rsidR="00133173" w:rsidRPr="00462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F542B68"/>
    <w:lvl w:ilvl="0">
      <w:start w:val="1"/>
      <w:numFmt w:val="bullet"/>
      <w:pStyle w:val="ListBullet"/>
      <w:lvlText w:val=""/>
      <w:lvlJc w:val="left"/>
      <w:pPr>
        <w:tabs>
          <w:tab w:val="num" w:pos="360"/>
        </w:tabs>
        <w:ind w:left="360" w:hanging="360"/>
      </w:pPr>
      <w:rPr>
        <w:rFonts w:ascii="Symbol" w:hAnsi="Symbol" w:hint="default"/>
      </w:rPr>
    </w:lvl>
  </w:abstractNum>
  <w:num w:numId="1" w16cid:durableId="144711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FE"/>
    <w:rsid w:val="00133173"/>
    <w:rsid w:val="00144964"/>
    <w:rsid w:val="001E1752"/>
    <w:rsid w:val="00273F55"/>
    <w:rsid w:val="004627FE"/>
    <w:rsid w:val="00513E9F"/>
    <w:rsid w:val="005C5586"/>
    <w:rsid w:val="006F424C"/>
    <w:rsid w:val="008B765D"/>
    <w:rsid w:val="008E4663"/>
    <w:rsid w:val="0090009F"/>
    <w:rsid w:val="00A923D0"/>
    <w:rsid w:val="00CA3D80"/>
    <w:rsid w:val="00EC41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68DA"/>
  <w15:chartTrackingRefBased/>
  <w15:docId w15:val="{A03C0885-4F6E-4657-A0D4-C395C372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7FE"/>
    <w:rPr>
      <w:rFonts w:eastAsiaTheme="majorEastAsia" w:cstheme="majorBidi"/>
      <w:color w:val="272727" w:themeColor="text1" w:themeTint="D8"/>
    </w:rPr>
  </w:style>
  <w:style w:type="paragraph" w:styleId="Title">
    <w:name w:val="Title"/>
    <w:basedOn w:val="Normal"/>
    <w:next w:val="Normal"/>
    <w:link w:val="TitleChar"/>
    <w:uiPriority w:val="10"/>
    <w:qFormat/>
    <w:rsid w:val="0046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7FE"/>
    <w:pPr>
      <w:spacing w:before="160"/>
      <w:jc w:val="center"/>
    </w:pPr>
    <w:rPr>
      <w:i/>
      <w:iCs/>
      <w:color w:val="404040" w:themeColor="text1" w:themeTint="BF"/>
    </w:rPr>
  </w:style>
  <w:style w:type="character" w:customStyle="1" w:styleId="QuoteChar">
    <w:name w:val="Quote Char"/>
    <w:basedOn w:val="DefaultParagraphFont"/>
    <w:link w:val="Quote"/>
    <w:uiPriority w:val="29"/>
    <w:rsid w:val="004627FE"/>
    <w:rPr>
      <w:i/>
      <w:iCs/>
      <w:color w:val="404040" w:themeColor="text1" w:themeTint="BF"/>
    </w:rPr>
  </w:style>
  <w:style w:type="paragraph" w:styleId="ListParagraph">
    <w:name w:val="List Paragraph"/>
    <w:basedOn w:val="Normal"/>
    <w:uiPriority w:val="34"/>
    <w:qFormat/>
    <w:rsid w:val="004627FE"/>
    <w:pPr>
      <w:ind w:left="720"/>
      <w:contextualSpacing/>
    </w:pPr>
  </w:style>
  <w:style w:type="character" w:styleId="IntenseEmphasis">
    <w:name w:val="Intense Emphasis"/>
    <w:basedOn w:val="DefaultParagraphFont"/>
    <w:uiPriority w:val="21"/>
    <w:qFormat/>
    <w:rsid w:val="004627FE"/>
    <w:rPr>
      <w:i/>
      <w:iCs/>
      <w:color w:val="0F4761" w:themeColor="accent1" w:themeShade="BF"/>
    </w:rPr>
  </w:style>
  <w:style w:type="paragraph" w:styleId="IntenseQuote">
    <w:name w:val="Intense Quote"/>
    <w:basedOn w:val="Normal"/>
    <w:next w:val="Normal"/>
    <w:link w:val="IntenseQuoteChar"/>
    <w:uiPriority w:val="30"/>
    <w:qFormat/>
    <w:rsid w:val="0046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7FE"/>
    <w:rPr>
      <w:i/>
      <w:iCs/>
      <w:color w:val="0F4761" w:themeColor="accent1" w:themeShade="BF"/>
    </w:rPr>
  </w:style>
  <w:style w:type="character" w:styleId="IntenseReference">
    <w:name w:val="Intense Reference"/>
    <w:basedOn w:val="DefaultParagraphFont"/>
    <w:uiPriority w:val="32"/>
    <w:qFormat/>
    <w:rsid w:val="004627FE"/>
    <w:rPr>
      <w:b/>
      <w:bCs/>
      <w:smallCaps/>
      <w:color w:val="0F4761" w:themeColor="accent1" w:themeShade="BF"/>
      <w:spacing w:val="5"/>
    </w:rPr>
  </w:style>
  <w:style w:type="paragraph" w:styleId="ListBullet">
    <w:name w:val="List Bullet"/>
    <w:basedOn w:val="Normal"/>
    <w:uiPriority w:val="99"/>
    <w:unhideWhenUsed/>
    <w:rsid w:val="00CA3D8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4692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NIRAS</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Karup Pedersen (JKPE)</dc:creator>
  <cp:keywords/>
  <dc:description/>
  <cp:lastModifiedBy>Jesper Karup Pedersen (JKPE)</cp:lastModifiedBy>
  <cp:revision>1</cp:revision>
  <dcterms:created xsi:type="dcterms:W3CDTF">2024-12-16T08:07:00Z</dcterms:created>
  <dcterms:modified xsi:type="dcterms:W3CDTF">2024-12-16T09:35:00Z</dcterms:modified>
</cp:coreProperties>
</file>